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4819"/>
        <w:jc w:val="both"/>
      </w:pPr>
      <w:r>
        <w:t xml:space="preserve">О</w:t>
      </w:r>
      <w:r>
        <w:t xml:space="preserve">б утверждении Программы</w:t>
      </w:r>
      <w:r>
        <w:t xml:space="preserve"> профилактики рисков причинения вреда (ущерба) охраняемым законом ценностям при осуществлении муниципального жилищного контроля на 202</w:t>
      </w:r>
      <w:r>
        <w:t xml:space="preserve">5 год</w:t>
      </w:r>
      <w:r>
        <w:t xml:space="preserve"> </w:t>
      </w:r>
      <w:r/>
    </w:p>
    <w:p>
      <w:pPr>
        <w:ind w:right="4535"/>
        <w:tabs>
          <w:tab w:val="left" w:pos="4820" w:leader="none"/>
        </w:tabs>
      </w:pPr>
      <w:r/>
      <w:r/>
    </w:p>
    <w:p>
      <w:pPr>
        <w:ind w:right="4535"/>
        <w:tabs>
          <w:tab w:val="left" w:pos="4820" w:leader="none"/>
        </w:tabs>
      </w:pPr>
      <w:r/>
      <w:r/>
    </w:p>
    <w:p>
      <w:pPr>
        <w:ind w:right="4535"/>
        <w:tabs>
          <w:tab w:val="left" w:pos="4820" w:leader="none"/>
        </w:tabs>
      </w:pPr>
      <w:r/>
      <w:r/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hyperlink r:id="rId9" w:tooltip="https://login.consultant.ru/link/?req=doc&amp;base=LAW&amp;n=402648&amp;date=20.09.2022&amp;dst=100482&amp;field=134" w:history="1">
        <w:r>
          <w:rPr>
            <w:sz w:val="28"/>
            <w:szCs w:val="28"/>
          </w:rPr>
          <w:t xml:space="preserve">статьей 44</w:t>
        </w:r>
      </w:hyperlink>
      <w:r>
        <w:rPr>
          <w:sz w:val="28"/>
          <w:szCs w:val="28"/>
        </w:rPr>
        <w:t xml:space="preserve"> Федерального закона от 31.07.2020 №248-ФЗ "О государственном контроле (надзоре) и муниципальном контроле в Российской Федерации", руководствуясь </w:t>
      </w:r>
      <w:hyperlink r:id="rId10" w:tooltip="https://login.consultant.ru/link/?req=doc&amp;base=LAW&amp;n=388492&amp;date=20.09.2022" w:history="1">
        <w:r>
          <w:rPr>
            <w:sz w:val="28"/>
            <w:szCs w:val="28"/>
          </w:rPr>
          <w:t xml:space="preserve">постановлением</w:t>
        </w:r>
      </w:hyperlink>
      <w:r>
        <w:rPr>
          <w:sz w:val="28"/>
          <w:szCs w:val="28"/>
        </w:rPr>
        <w:t xml:space="preserve"> Правительства Российской Федерации от 25.06.2021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ценностям":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</w:r>
      <w:r/>
    </w:p>
    <w:p>
      <w:pPr>
        <w:pStyle w:val="844"/>
        <w:ind w:firstLine="567"/>
        <w:jc w:val="both"/>
        <w:rPr>
          <w:sz w:val="28"/>
        </w:rPr>
      </w:pPr>
      <w:r>
        <w:rPr>
          <w:sz w:val="28"/>
        </w:rPr>
        <w:t xml:space="preserve">1. Утвердить </w:t>
      </w:r>
      <w:hyperlink w:tooltip="ПРОГРАММА" w:anchor="Par31" w:history="1">
        <w:r>
          <w:rPr>
            <w:sz w:val="28"/>
          </w:rPr>
          <w:t xml:space="preserve">Программу</w:t>
        </w:r>
      </w:hyperlink>
      <w:r>
        <w:rPr>
          <w:sz w:val="28"/>
        </w:rPr>
        <w:t xml:space="preserve"> профилактики рисков причинения вреда (ущерба) охраняемым законом ценностям при осуществлении муниципального жилищного контроля на 202</w:t>
      </w:r>
      <w:r>
        <w:rPr>
          <w:sz w:val="28"/>
        </w:rPr>
        <w:t xml:space="preserve">5 год согласно приложению.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 xml:space="preserve">Контроль за выполнением распоряжения возложить на исполняющего обязанности заместителя главы города С.И. Ефремова, начальника управления муниципального контроля администрации города </w:t>
      </w:r>
      <w:r>
        <w:rPr>
          <w:sz w:val="28"/>
        </w:rPr>
        <w:t xml:space="preserve">М.Н. </w:t>
      </w:r>
      <w:r>
        <w:rPr>
          <w:sz w:val="28"/>
        </w:rPr>
        <w:t xml:space="preserve">Халитову</w:t>
      </w:r>
      <w:r>
        <w:rPr>
          <w:sz w:val="28"/>
        </w:rPr>
        <w:t xml:space="preserve">.</w:t>
      </w:r>
      <w:r/>
    </w:p>
    <w:p>
      <w:pPr>
        <w:ind w:firstLine="708"/>
        <w:jc w:val="both"/>
        <w:rPr>
          <w:sz w:val="28"/>
        </w:rPr>
      </w:pPr>
      <w:r>
        <w:rPr>
          <w:sz w:val="28"/>
        </w:rPr>
        <w:t xml:space="preserve"> </w:t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jc w:val="both"/>
        <w:rPr>
          <w:sz w:val="32"/>
        </w:rPr>
      </w:pPr>
      <w:r>
        <w:rPr>
          <w:sz w:val="28"/>
        </w:rPr>
        <w:tab/>
      </w:r>
      <w:r/>
    </w:p>
    <w:p>
      <w:pPr>
        <w:jc w:val="both"/>
        <w:rPr>
          <w:sz w:val="28"/>
        </w:rPr>
      </w:pPr>
      <w:r>
        <w:rPr>
          <w:sz w:val="28"/>
        </w:rPr>
        <w:t xml:space="preserve">Глава города</w:t>
      </w:r>
      <w:r>
        <w:rPr>
          <w:sz w:val="28"/>
        </w:rPr>
        <w:t xml:space="preserve">                                                                   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Д.А. Кощенко</w:t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jc w:val="both"/>
        <w:rPr>
          <w:sz w:val="28"/>
        </w:rPr>
      </w:pPr>
      <w:r>
        <w:rPr>
          <w:sz w:val="28"/>
        </w:rPr>
      </w:r>
      <w:r/>
    </w:p>
    <w:p>
      <w:pPr>
        <w:ind w:firstLine="59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59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59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59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59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59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834"/>
        <w:ind w:left="5954"/>
        <w:jc w:val="both"/>
        <w:spacing w:after="0" w:line="240" w:lineRule="auto"/>
        <w:rPr>
          <w:highlight w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Приложение к распоряжению</w:t>
      </w:r>
      <w:r/>
      <w:r/>
    </w:p>
    <w:p>
      <w:pPr>
        <w:ind w:left="6372" w:firstLine="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города</w:t>
      </w:r>
      <w:r/>
      <w:r/>
      <w:r>
        <w:rPr>
          <w:sz w:val="28"/>
        </w:rPr>
      </w:r>
      <w:r/>
    </w:p>
    <w:p>
      <w:pPr>
        <w:ind w:left="6372"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372" w:firstLine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46"/>
        <w:jc w:val="center"/>
        <w:spacing w:before="0" w:beforeAutospacing="0" w:after="0" w:afterAutospacing="0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Программа профилактики рисков </w:t>
      </w:r>
      <w:r/>
    </w:p>
    <w:p>
      <w:pPr>
        <w:pStyle w:val="846"/>
        <w:jc w:val="center"/>
        <w:spacing w:before="0" w:beforeAutospacing="0" w:after="0" w:afterAutospacing="0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причинения вреда (ущерба) охраняемым законом ценностям </w:t>
      </w:r>
      <w:r/>
    </w:p>
    <w:p>
      <w:pPr>
        <w:pStyle w:val="846"/>
        <w:jc w:val="center"/>
        <w:spacing w:before="0" w:beforeAutospacing="0" w:after="0" w:afterAutospacing="0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при осуществлении муниципального жилищного контроля </w:t>
      </w:r>
      <w:r/>
    </w:p>
    <w:p>
      <w:pPr>
        <w:pStyle w:val="846"/>
        <w:jc w:val="center"/>
        <w:spacing w:before="0" w:beforeAutospacing="0" w:after="0" w:afterAutospacing="0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на 202</w:t>
      </w:r>
      <w:r>
        <w:rPr>
          <w:b/>
          <w:color w:val="000000"/>
          <w:sz w:val="27"/>
          <w:szCs w:val="27"/>
        </w:rPr>
        <w:t xml:space="preserve">5 год</w:t>
      </w:r>
      <w:r/>
    </w:p>
    <w:p>
      <w:pPr>
        <w:jc w:val="center"/>
        <w:rPr>
          <w:sz w:val="28"/>
        </w:rPr>
      </w:pPr>
      <w:r>
        <w:rPr>
          <w:sz w:val="28"/>
        </w:rPr>
      </w:r>
      <w:r/>
    </w:p>
    <w:p>
      <w:pPr>
        <w:pStyle w:val="846"/>
        <w:jc w:val="center"/>
        <w:spacing w:before="0" w:beforeAutospacing="0" w:after="0" w:afterAutospacing="0"/>
        <w:rPr>
          <w:b/>
          <w:color w:val="000000"/>
          <w:sz w:val="27"/>
          <w:szCs w:val="27"/>
        </w:rPr>
      </w:pPr>
      <w:r>
        <w:rPr>
          <w:b/>
          <w:sz w:val="28"/>
          <w:szCs w:val="28"/>
          <w:lang w:val="en-US"/>
        </w:rPr>
        <w:t xml:space="preserve">I</w:t>
      </w:r>
      <w:r>
        <w:rPr>
          <w:b/>
          <w:sz w:val="28"/>
          <w:szCs w:val="28"/>
        </w:rPr>
        <w:t xml:space="preserve">. Общие положения</w:t>
      </w:r>
      <w:r/>
    </w:p>
    <w:p>
      <w:pPr>
        <w:jc w:val="center"/>
        <w:rPr>
          <w:sz w:val="32"/>
        </w:rPr>
      </w:pPr>
      <w:r>
        <w:rPr>
          <w:sz w:val="32"/>
        </w:rPr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1.1. Программа профилактики рисков причинения вреда (ущерба) охраняемым законом ценностям при осуществлении муниципального жилищного контроля на 202</w:t>
      </w:r>
      <w:r>
        <w:rPr>
          <w:sz w:val="28"/>
        </w:rPr>
        <w:t xml:space="preserve">5 год (далее - Программа) разработана в целях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</w:t>
      </w:r>
      <w:r>
        <w:rPr>
          <w:sz w:val="28"/>
        </w:rPr>
        <w:t xml:space="preserve">ребований и (или) причинению вреда (ущерба) охраняемым законом ценностям в отношении муниципального жилищного фонда, а также создания условий для доведения обязательных требований до контролируемых лиц, повышения информированности о способах их соблюдения.</w:t>
      </w:r>
      <w:r/>
    </w:p>
    <w:p>
      <w:pPr>
        <w:ind w:firstLine="540"/>
        <w:jc w:val="both"/>
        <w:rPr>
          <w:sz w:val="28"/>
        </w:rPr>
      </w:pPr>
      <w:r>
        <w:rPr>
          <w:sz w:val="28"/>
        </w:rPr>
        <w:t xml:space="preserve">1.2. Программа разработана в соответствии с Федеральными законами от </w:t>
      </w:r>
      <w:r>
        <w:rPr>
          <w:sz w:val="28"/>
          <w:szCs w:val="28"/>
        </w:rPr>
        <w:t xml:space="preserve">31.07.2020 </w:t>
      </w:r>
      <w:hyperlink r:id="rId11" w:tooltip="https://login.consultant.ru/link/?req=doc&amp;base=LAW&amp;n=386984&amp;date=20.09.2022" w:history="1">
        <w:r>
          <w:rPr>
            <w:sz w:val="28"/>
            <w:szCs w:val="28"/>
          </w:rPr>
          <w:t xml:space="preserve">№247-ФЗ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"Об обязательных требованиях в</w:t>
      </w:r>
      <w:r>
        <w:rPr>
          <w:sz w:val="28"/>
        </w:rPr>
        <w:t xml:space="preserve"> Российской Федерации" (далее - Федеральный закон </w:t>
      </w:r>
      <w:r>
        <w:rPr>
          <w:sz w:val="28"/>
        </w:rPr>
        <w:t xml:space="preserve">№</w:t>
      </w:r>
      <w:r>
        <w:rPr>
          <w:sz w:val="28"/>
        </w:rPr>
        <w:t xml:space="preserve">247-ФЗ), от 31.07.2020 </w:t>
      </w:r>
      <w:hyperlink r:id="rId12" w:tooltip="https://login.consultant.ru/link/?req=doc&amp;base=LAW&amp;n=402648&amp;date=20.09.2022" w:history="1">
        <w:r>
          <w:rPr>
            <w:sz w:val="28"/>
          </w:rPr>
          <w:t xml:space="preserve">№</w:t>
        </w:r>
        <w:r>
          <w:rPr>
            <w:sz w:val="28"/>
          </w:rPr>
          <w:t xml:space="preserve">248-ФЗ</w:t>
        </w:r>
      </w:hyperlink>
      <w:r>
        <w:rPr>
          <w:sz w:val="28"/>
        </w:rPr>
        <w:t xml:space="preserve"> </w:t>
      </w:r>
      <w:r>
        <w:rPr>
          <w:sz w:val="28"/>
        </w:rPr>
        <w:t xml:space="preserve">"О государственном контроле (надзоре) и муниципальном контроле в Российской Федерации" (далее - Федеральный закон </w:t>
      </w:r>
      <w:r>
        <w:rPr>
          <w:sz w:val="28"/>
        </w:rPr>
        <w:t xml:space="preserve">№</w:t>
      </w:r>
      <w:r>
        <w:rPr>
          <w:sz w:val="28"/>
        </w:rPr>
        <w:t xml:space="preserve">248-ФЗ), </w:t>
      </w:r>
      <w:hyperlink r:id="rId13" w:tooltip="https://login.consultant.ru/link/?req=doc&amp;base=LAW&amp;n=388492&amp;date=20.09.2022" w:history="1">
        <w:r>
          <w:rPr>
            <w:sz w:val="28"/>
          </w:rPr>
          <w:t xml:space="preserve">постановлением</w:t>
        </w:r>
      </w:hyperlink>
      <w:r>
        <w:rPr>
          <w:sz w:val="28"/>
        </w:rPr>
        <w:t xml:space="preserve"> Правительства Российской Федерации от 25.06.2021 </w:t>
      </w:r>
      <w:r>
        <w:rPr>
          <w:sz w:val="28"/>
        </w:rPr>
        <w:t xml:space="preserve">№</w:t>
      </w:r>
      <w:r>
        <w:rPr>
          <w:sz w:val="28"/>
        </w:rPr>
        <w:t xml:space="preserve"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1.3. Срок реализации Программы - 202</w:t>
      </w:r>
      <w:r>
        <w:rPr>
          <w:sz w:val="28"/>
        </w:rPr>
        <w:t xml:space="preserve">5 год.</w:t>
      </w:r>
      <w:r/>
    </w:p>
    <w:p>
      <w:pPr>
        <w:jc w:val="center"/>
        <w:rPr>
          <w:sz w:val="28"/>
        </w:rPr>
      </w:pPr>
      <w:r>
        <w:rPr>
          <w:sz w:val="28"/>
        </w:rPr>
      </w:r>
      <w:r/>
    </w:p>
    <w:p>
      <w:pPr>
        <w:pStyle w:val="835"/>
        <w:ind w:firstLine="567"/>
        <w:jc w:val="center"/>
        <w:rPr>
          <w:b/>
          <w:szCs w:val="28"/>
        </w:rPr>
      </w:pPr>
      <w:r>
        <w:rPr>
          <w:b/>
          <w:szCs w:val="28"/>
        </w:rPr>
        <w:t xml:space="preserve">II. </w:t>
      </w:r>
      <w:r>
        <w:rPr>
          <w:b/>
          <w:szCs w:val="28"/>
        </w:rPr>
        <w:t xml:space="preserve">А</w:t>
      </w:r>
      <w:r>
        <w:rPr>
          <w:b/>
          <w:szCs w:val="28"/>
        </w:rPr>
        <w:t xml:space="preserve">нализ текущего состояния осуществления </w:t>
      </w:r>
      <w:r>
        <w:rPr>
          <w:b/>
          <w:szCs w:val="28"/>
        </w:rPr>
        <w:t xml:space="preserve">муниципального жилищного </w:t>
      </w:r>
      <w:r>
        <w:rPr>
          <w:b/>
          <w:szCs w:val="28"/>
        </w:rPr>
        <w:t xml:space="preserve">контроля, описание текущего развития профилактической деятельности, характеристика проблем, на решен</w:t>
      </w:r>
      <w:r>
        <w:rPr>
          <w:b/>
          <w:szCs w:val="28"/>
        </w:rPr>
        <w:t xml:space="preserve">ие которых направлена Программа</w:t>
      </w:r>
      <w:r/>
    </w:p>
    <w:p>
      <w:pPr>
        <w:jc w:val="center"/>
        <w:rPr>
          <w:sz w:val="28"/>
        </w:rPr>
      </w:pPr>
      <w:r>
        <w:rPr>
          <w:sz w:val="28"/>
        </w:rPr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Предметом муниципального жилищного контроля является деятельность органа муниципального контроля по организации и проведению проверок соб</w:t>
      </w:r>
      <w:r>
        <w:rPr>
          <w:sz w:val="28"/>
          <w:szCs w:val="28"/>
        </w:rPr>
        <w:t xml:space="preserve">людения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а также по организации и проведению мероприятий по профилактике нарушений указанных требований, </w:t>
      </w:r>
      <w:r>
        <w:rPr>
          <w:sz w:val="28"/>
          <w:szCs w:val="28"/>
        </w:rPr>
        <w:t xml:space="preserve">мероприятий по контролю, осуществляемых без взаимодействия с юридическими лицами, индивидуальными предпринимателями, в сфере жилищных правоотношений.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Обязательные требования, требования, установленные муниципальными правовыми актами в сфере осуществления муниципального жилищного контроля, регламентированы следующими правовыми актами: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Жилищный </w:t>
      </w:r>
      <w:hyperlink r:id="rId14" w:tooltip="https://login.consultant.ru/link/?req=doc&amp;base=LAW&amp;n=373476&amp;date=20.09.2022" w:history="1">
        <w:r>
          <w:rPr>
            <w:sz w:val="28"/>
            <w:szCs w:val="28"/>
          </w:rPr>
          <w:t xml:space="preserve">кодекс</w:t>
        </w:r>
      </w:hyperlink>
      <w:r>
        <w:rPr>
          <w:sz w:val="28"/>
          <w:szCs w:val="28"/>
        </w:rPr>
        <w:t xml:space="preserve"> Российской Федерации;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5" w:tooltip="https://login.consultant.ru/link/?req=doc&amp;base=LAW&amp;n=356129&amp;date=20.09.2022" w:history="1">
        <w:r>
          <w:rPr>
            <w:sz w:val="28"/>
            <w:szCs w:val="28"/>
          </w:rPr>
          <w:t xml:space="preserve">постановление</w:t>
        </w:r>
      </w:hyperlink>
      <w:r>
        <w:rPr>
          <w:sz w:val="28"/>
          <w:szCs w:val="28"/>
        </w:rPr>
        <w:t xml:space="preserve"> Правительства Российской Федерации от 13.08.2006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491 "Об утверждении Правил содержания общего имущества в многоквартирном доме и Правил изменения</w:t>
      </w:r>
      <w:r>
        <w:rPr>
          <w:sz w:val="28"/>
          <w:szCs w:val="28"/>
        </w:rPr>
        <w:t xml:space="preserve">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продолжительность";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6" w:tooltip="https://login.consultant.ru/link/?req=doc&amp;base=LAW&amp;n=392661&amp;date=20.09.2022" w:history="1">
        <w:r>
          <w:rPr>
            <w:sz w:val="28"/>
            <w:szCs w:val="28"/>
          </w:rPr>
          <w:t xml:space="preserve">постановление</w:t>
        </w:r>
      </w:hyperlink>
      <w:r>
        <w:rPr>
          <w:sz w:val="28"/>
          <w:szCs w:val="28"/>
        </w:rPr>
        <w:t xml:space="preserve"> Правительства Российской Федерации от 06.05.2011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354 "О предоставлении коммунальных услуг собственникам и пользователям помещений в многоквартирных домах и жилых домов";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7" w:tooltip="https://login.consultant.ru/link/?req=doc&amp;base=LAW&amp;n=356131&amp;date=20.09.2022" w:history="1">
        <w:r>
          <w:rPr>
            <w:sz w:val="28"/>
            <w:szCs w:val="28"/>
          </w:rPr>
          <w:t xml:space="preserve">постановление</w:t>
        </w:r>
      </w:hyperlink>
      <w:r>
        <w:rPr>
          <w:sz w:val="28"/>
          <w:szCs w:val="28"/>
        </w:rPr>
        <w:t xml:space="preserve"> Правительства Российской Федерации от 03.04.2013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290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выполнения";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8" w:tooltip="https://login.consultant.ru/link/?req=doc&amp;base=LAW&amp;n=305825&amp;date=20.09.2022" w:history="1">
        <w:r>
          <w:rPr>
            <w:sz w:val="28"/>
            <w:szCs w:val="28"/>
          </w:rPr>
          <w:t xml:space="preserve">постановление</w:t>
        </w:r>
      </w:hyperlink>
      <w:r>
        <w:rPr>
          <w:sz w:val="28"/>
          <w:szCs w:val="28"/>
        </w:rPr>
        <w:t xml:space="preserve"> Правительства Российской Федерации от 15.05.2013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416 "О порядке осуществления деятельности по управлению многоквартирными домами";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9" w:tooltip="https://login.consultant.ru/link/?req=doc&amp;base=LAW&amp;n=44772&amp;date=20.09.2022" w:history="1">
        <w:r>
          <w:rPr>
            <w:sz w:val="28"/>
            <w:szCs w:val="28"/>
          </w:rPr>
          <w:t xml:space="preserve">постановление</w:t>
        </w:r>
      </w:hyperlink>
      <w:r>
        <w:rPr>
          <w:sz w:val="28"/>
          <w:szCs w:val="28"/>
        </w:rPr>
        <w:t xml:space="preserve"> Государственного комитета Российской Федерации по строительству и жилищно-коммунальному комплексу от 27.09.2003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170 "Об утверждении Правил и норм технической эксплуатации жилищного фонда";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20" w:tooltip="https://login.consultant.ru/link/?req=doc&amp;base=RLAW926&amp;n=233128&amp;date=20.09.2022" w:history="1">
        <w:r>
          <w:rPr>
            <w:sz w:val="28"/>
            <w:szCs w:val="28"/>
          </w:rPr>
          <w:t xml:space="preserve">решение</w:t>
        </w:r>
      </w:hyperlink>
      <w:r>
        <w:rPr>
          <w:sz w:val="28"/>
          <w:szCs w:val="28"/>
        </w:rPr>
        <w:t xml:space="preserve"> Думы города</w:t>
      </w:r>
      <w:r>
        <w:rPr>
          <w:sz w:val="28"/>
          <w:szCs w:val="28"/>
        </w:rPr>
        <w:t xml:space="preserve"> Нижневартовска</w:t>
      </w:r>
      <w:r>
        <w:rPr>
          <w:sz w:val="28"/>
          <w:szCs w:val="28"/>
        </w:rPr>
        <w:t xml:space="preserve"> от 18.09.2020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667 "О Правилах благоустройства территории города Нижневартовска".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Объектами муниципального жилищного контроля являются:</w:t>
      </w:r>
      <w:r/>
    </w:p>
    <w:p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деятельность, действия (бездействие) контролируемых лиц,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отношении муниципального жилищного фонда;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результаты деятельности </w:t>
      </w:r>
      <w:r>
        <w:rPr>
          <w:sz w:val="28"/>
          <w:szCs w:val="28"/>
        </w:rPr>
        <w:t xml:space="preserve">контролируемых лиц, в том числе работы и услуги,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здания, помещения, сооружения, оборудование, устройства, предметы, материалы и другие объекты, которыми </w:t>
      </w:r>
      <w:r>
        <w:rPr>
          <w:sz w:val="28"/>
          <w:szCs w:val="28"/>
        </w:rPr>
        <w:t xml:space="preserve">контролируемые лица владеют и (или) пользуются и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В качестве контролируемых лиц при осуществлении муниципального жилищного контроля выступают юр</w:t>
      </w:r>
      <w:r>
        <w:rPr>
          <w:sz w:val="28"/>
          <w:szCs w:val="28"/>
        </w:rPr>
        <w:t xml:space="preserve">идические лица и индивидуальные предприниматели, осуществляющие предпринимательскую деятельность по управлению многоквартирными домами, товарищества собственников жилья, жилищные, жилищно-строительные или иные специализированные потребительские кооперативы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отношении муниципального жилищного фонда</w:t>
      </w:r>
      <w:r>
        <w:rPr>
          <w:sz w:val="28"/>
          <w:szCs w:val="28"/>
        </w:rPr>
        <w:t xml:space="preserve">, общее количество которых по состоянию на 01.</w:t>
      </w:r>
      <w:r>
        <w:rPr>
          <w:sz w:val="28"/>
          <w:szCs w:val="28"/>
        </w:rPr>
        <w:t xml:space="preserve">09</w:t>
      </w:r>
      <w:r>
        <w:rPr>
          <w:sz w:val="28"/>
          <w:szCs w:val="28"/>
        </w:rPr>
        <w:t xml:space="preserve">.202</w:t>
      </w:r>
      <w:r>
        <w:rPr>
          <w:sz w:val="28"/>
          <w:szCs w:val="28"/>
        </w:rPr>
        <w:t xml:space="preserve">4 на территории города Нижневартовска составляло </w:t>
      </w:r>
      <w:r>
        <w:rPr>
          <w:sz w:val="28"/>
          <w:szCs w:val="28"/>
        </w:rPr>
        <w:t xml:space="preserve">21</w:t>
      </w:r>
      <w:r>
        <w:rPr>
          <w:b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единиц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.</w:t>
      </w:r>
      <w:r/>
    </w:p>
    <w:p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>
        <w:rPr>
          <w:sz w:val="28"/>
          <w:szCs w:val="28"/>
        </w:rPr>
        <w:t xml:space="preserve">В 2024 году с учетом требований постановления Правительства Российской Федерации от 10.03.2022 №336 "Об особенностях организации и осуществления государственного контроля (надзора), муниципального контроля" (далее - постановление Правительства №336)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которым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установлены ограничения на проведение плановых и внеплановых проверок юридических лиц и индивидуальных предпринимателей в рамках осуществления государственного и муниципального контроля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внеплановые проверки в отношении управляющих организаций города Нижневартовска</w:t>
      </w:r>
      <w:r>
        <w:rPr>
          <w:sz w:val="28"/>
          <w:szCs w:val="28"/>
        </w:rPr>
        <w:t xml:space="preserve"> не проводились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редписани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об устранении нарушений обязательных требований</w:t>
      </w:r>
      <w:r>
        <w:rPr>
          <w:sz w:val="28"/>
          <w:szCs w:val="28"/>
        </w:rPr>
        <w:t xml:space="preserve"> не выносились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протокол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об административном правонарушении по </w:t>
      </w:r>
      <w:hyperlink r:id="rId21" w:tooltip="https://login.consultant.ru/link/?req=doc&amp;base=LAW&amp;n=387669&amp;date=20.09.2022&amp;dst=7998&amp;field=134" w:history="1">
        <w:r>
          <w:rPr>
            <w:sz w:val="28"/>
            <w:szCs w:val="28"/>
          </w:rPr>
          <w:t xml:space="preserve">статье 19.5</w:t>
        </w:r>
      </w:hyperlink>
      <w:r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>
        <w:rPr>
          <w:sz w:val="28"/>
          <w:szCs w:val="28"/>
        </w:rPr>
        <w:t xml:space="preserve"> не составлялись</w:t>
      </w:r>
      <w:r>
        <w:rPr>
          <w:sz w:val="28"/>
          <w:szCs w:val="28"/>
        </w:rPr>
        <w:t xml:space="preserve">.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января по </w:t>
      </w:r>
      <w:r>
        <w:rPr>
          <w:sz w:val="28"/>
          <w:szCs w:val="28"/>
        </w:rPr>
        <w:t xml:space="preserve">май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4 года проведено </w:t>
      </w:r>
      <w:r>
        <w:rPr>
          <w:sz w:val="28"/>
          <w:szCs w:val="28"/>
        </w:rPr>
        <w:t xml:space="preserve">166 плановых (рейдовых) осмотра территорий многоквартирных домов в целях выявления</w:t>
      </w:r>
      <w:r>
        <w:rPr>
          <w:sz w:val="28"/>
          <w:szCs w:val="28"/>
        </w:rPr>
        <w:t xml:space="preserve"> нарушений обязательных требований</w:t>
      </w:r>
      <w:r>
        <w:rPr>
          <w:sz w:val="28"/>
          <w:szCs w:val="28"/>
        </w:rPr>
        <w:t xml:space="preserve">.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рассмотрения обращений граждан о</w:t>
      </w:r>
      <w:r>
        <w:rPr>
          <w:sz w:val="28"/>
          <w:szCs w:val="28"/>
        </w:rPr>
        <w:t xml:space="preserve">существлялась работа, направленная на предотвращение нарушени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обязательных требований при размещении на придомовых территориях многоквартирных домов нестационарных торговых объектов. Проведено </w:t>
      </w:r>
      <w:r>
        <w:rPr>
          <w:sz w:val="28"/>
          <w:szCs w:val="28"/>
        </w:rPr>
        <w:t xml:space="preserve">5 обследований территорий многоквартирных домов, по итогам которых управляющим организациям </w:t>
      </w:r>
      <w:r>
        <w:rPr>
          <w:sz w:val="28"/>
          <w:szCs w:val="28"/>
        </w:rPr>
        <w:t xml:space="preserve">направлено 5</w:t>
      </w:r>
      <w:r>
        <w:rPr>
          <w:sz w:val="28"/>
          <w:szCs w:val="28"/>
        </w:rPr>
        <w:t xml:space="preserve"> предостережени</w:t>
      </w:r>
      <w:r>
        <w:rPr>
          <w:sz w:val="28"/>
          <w:szCs w:val="28"/>
        </w:rPr>
        <w:t xml:space="preserve">й.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в</w:t>
      </w:r>
      <w:r>
        <w:rPr>
          <w:sz w:val="28"/>
          <w:szCs w:val="28"/>
        </w:rPr>
        <w:t xml:space="preserve"> адрес организаций, осуществляющих управление многоквартирными домами, </w:t>
      </w:r>
      <w:r>
        <w:rPr>
          <w:sz w:val="28"/>
          <w:szCs w:val="28"/>
        </w:rPr>
        <w:t xml:space="preserve">за 9 месяцев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4 года </w:t>
      </w:r>
      <w:r>
        <w:rPr>
          <w:sz w:val="28"/>
          <w:szCs w:val="28"/>
        </w:rPr>
        <w:t xml:space="preserve">направлено </w:t>
      </w:r>
      <w:r>
        <w:rPr>
          <w:sz w:val="28"/>
          <w:szCs w:val="28"/>
        </w:rPr>
        <w:t xml:space="preserve">129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предостережени</w:t>
      </w:r>
      <w:r>
        <w:rPr>
          <w:sz w:val="28"/>
          <w:szCs w:val="28"/>
        </w:rPr>
        <w:t xml:space="preserve">й о недопустимости нарушения обязательных требований, </w:t>
      </w:r>
      <w:r>
        <w:rPr>
          <w:sz w:val="28"/>
          <w:szCs w:val="28"/>
        </w:rPr>
        <w:t xml:space="preserve">требований,</w:t>
      </w:r>
      <w:r>
        <w:rPr>
          <w:sz w:val="28"/>
          <w:szCs w:val="28"/>
        </w:rPr>
        <w:t xml:space="preserve"> установленных муниципальными правовыми актами, </w:t>
      </w:r>
      <w:r>
        <w:rPr>
          <w:sz w:val="28"/>
          <w:szCs w:val="28"/>
        </w:rPr>
        <w:t xml:space="preserve">проведен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профилактически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визит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. В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3 году </w:t>
      </w:r>
      <w:r>
        <w:rPr>
          <w:sz w:val="28"/>
          <w:szCs w:val="28"/>
        </w:rPr>
        <w:t xml:space="preserve">направлено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33 предостережени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, проведено 3 профилактических визита. </w:t>
      </w:r>
      <w:r/>
    </w:p>
    <w:p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В рамках профилактики рисков причинения вреда (ущерба) охраняемым законом ценностям в 202</w:t>
      </w:r>
      <w:r>
        <w:rPr>
          <w:sz w:val="28"/>
          <w:szCs w:val="28"/>
        </w:rPr>
        <w:t xml:space="preserve">4 году, в соответствии с </w:t>
      </w:r>
      <w:hyperlink r:id="rId22" w:tooltip="https://login.consultant.ru/link/?req=doc&amp;base=RLAW926&amp;n=223961&amp;date=20.09.2022&amp;dst=100010&amp;field=134" w:history="1">
        <w:r>
          <w:rPr>
            <w:sz w:val="28"/>
            <w:szCs w:val="28"/>
          </w:rPr>
          <w:t xml:space="preserve">Программой</w:t>
        </w:r>
      </w:hyperlink>
      <w:r>
        <w:rPr>
          <w:sz w:val="28"/>
          <w:szCs w:val="28"/>
        </w:rPr>
        <w:t xml:space="preserve"> профилактики </w:t>
      </w:r>
      <w:r>
        <w:rPr>
          <w:sz w:val="28"/>
          <w:szCs w:val="28"/>
        </w:rPr>
        <w:t xml:space="preserve">рисков причинения вреда (ущерба) охраняемым законом ценностям при осуществлении муниципального жилищного контроля на 202</w:t>
      </w:r>
      <w:r>
        <w:rPr>
          <w:sz w:val="28"/>
          <w:szCs w:val="28"/>
        </w:rPr>
        <w:t xml:space="preserve">4 год</w:t>
      </w:r>
      <w:r>
        <w:rPr>
          <w:sz w:val="28"/>
          <w:szCs w:val="28"/>
        </w:rPr>
        <w:t xml:space="preserve">, утвержденной</w:t>
      </w:r>
      <w:r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аспоряжение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дминистрации города Нижневартовска от </w:t>
      </w:r>
      <w:r>
        <w:rPr>
          <w:sz w:val="28"/>
          <w:szCs w:val="28"/>
          <w:highlight w:val="none"/>
        </w:rPr>
        <w:t xml:space="preserve">08</w:t>
      </w:r>
      <w:r>
        <w:rPr>
          <w:sz w:val="28"/>
          <w:szCs w:val="28"/>
          <w:highlight w:val="white"/>
        </w:rPr>
        <w:t xml:space="preserve">.12.2023 </w:t>
      </w:r>
      <w:r>
        <w:rPr>
          <w:sz w:val="28"/>
          <w:szCs w:val="28"/>
          <w:highlight w:val="white"/>
        </w:rPr>
        <w:t xml:space="preserve">№788-р</w:t>
      </w:r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</w:rPr>
        <w:t xml:space="preserve">осуществля</w:t>
      </w:r>
      <w:r>
        <w:rPr>
          <w:sz w:val="28"/>
          <w:szCs w:val="28"/>
        </w:rPr>
        <w:t xml:space="preserve">лись</w:t>
      </w:r>
      <w:r>
        <w:rPr>
          <w:sz w:val="28"/>
          <w:szCs w:val="28"/>
        </w:rPr>
        <w:t xml:space="preserve"> следующие мероприятия: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официальном сайте органов местного самоуправления города Нижневартовска в информационно-телекоммуникационной сети "Интернет" </w:t>
      </w:r>
      <w:r>
        <w:rPr>
          <w:sz w:val="28"/>
          <w:szCs w:val="28"/>
        </w:rPr>
        <w:t xml:space="preserve">(далее - официальный сайт) в рубрике "Муниципальный контроль" актуализированы</w:t>
      </w:r>
      <w:r>
        <w:rPr>
          <w:sz w:val="28"/>
          <w:szCs w:val="28"/>
        </w:rPr>
        <w:t xml:space="preserve">: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тексты нормативных правовых актов, регулирующих осуществление муниципального жилищного контроля;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сведения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силу;</w:t>
      </w:r>
      <w:r/>
    </w:p>
    <w:p>
      <w:pPr>
        <w:pStyle w:val="844"/>
        <w:ind w:firstLine="540"/>
        <w:jc w:val="both"/>
        <w:rPr>
          <w:sz w:val="32"/>
          <w:szCs w:val="28"/>
        </w:rPr>
      </w:pPr>
      <w:r>
        <w:rPr>
          <w:sz w:val="28"/>
        </w:rPr>
        <w:t xml:space="preserve">перечень нормативных правовых актов с указанием структурных единиц </w:t>
      </w:r>
      <w:r>
        <w:rPr>
          <w:sz w:val="28"/>
        </w:rPr>
        <w:t xml:space="preserve">этих актов, содержащих обязательные требования, оценка соблюдения которых является предметом муниципального жилищного контроля, а также информация о мерах ответственности, применяемых при нарушении обязательных требований, с текстами в действующей редакции</w:t>
      </w:r>
      <w:r>
        <w:rPr>
          <w:sz w:val="28"/>
        </w:rPr>
        <w:t xml:space="preserve">;</w:t>
      </w:r>
      <w:r/>
    </w:p>
    <w:p>
      <w:pPr>
        <w:pStyle w:val="844"/>
        <w:ind w:firstLine="540"/>
        <w:jc w:val="both"/>
        <w:rPr>
          <w:sz w:val="32"/>
          <w:szCs w:val="28"/>
        </w:rPr>
      </w:pPr>
      <w:r>
        <w:rPr>
          <w:sz w:val="28"/>
        </w:rPr>
        <w:t xml:space="preserve">переч</w:t>
      </w:r>
      <w:r>
        <w:rPr>
          <w:sz w:val="28"/>
        </w:rPr>
        <w:t xml:space="preserve">е</w:t>
      </w:r>
      <w:r>
        <w:rPr>
          <w:sz w:val="28"/>
        </w:rPr>
        <w:t xml:space="preserve">н</w:t>
      </w:r>
      <w:r>
        <w:rPr>
          <w:sz w:val="28"/>
        </w:rPr>
        <w:t xml:space="preserve">ь</w:t>
      </w:r>
      <w:r>
        <w:rPr>
          <w:sz w:val="28"/>
        </w:rPr>
        <w:t xml:space="preserve"> индикаторов риска нарушения обязательных требований, поряд</w:t>
      </w:r>
      <w:r>
        <w:rPr>
          <w:sz w:val="28"/>
        </w:rPr>
        <w:t xml:space="preserve">о</w:t>
      </w:r>
      <w:r>
        <w:rPr>
          <w:sz w:val="28"/>
        </w:rPr>
        <w:t xml:space="preserve">к отнесения объектов контроля к категориям риска</w:t>
      </w:r>
      <w:r>
        <w:rPr>
          <w:sz w:val="28"/>
        </w:rPr>
        <w:t xml:space="preserve">;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исчерпывающ</w:t>
      </w:r>
      <w:r>
        <w:rPr>
          <w:sz w:val="28"/>
        </w:rPr>
        <w:t xml:space="preserve">ий</w:t>
      </w:r>
      <w:r>
        <w:rPr>
          <w:sz w:val="28"/>
        </w:rPr>
        <w:t xml:space="preserve"> переч</w:t>
      </w:r>
      <w:r>
        <w:rPr>
          <w:sz w:val="28"/>
        </w:rPr>
        <w:t xml:space="preserve">е</w:t>
      </w:r>
      <w:r>
        <w:rPr>
          <w:sz w:val="28"/>
        </w:rPr>
        <w:t xml:space="preserve">н</w:t>
      </w:r>
      <w:r>
        <w:rPr>
          <w:sz w:val="28"/>
        </w:rPr>
        <w:t xml:space="preserve">ь</w:t>
      </w:r>
      <w:r>
        <w:rPr>
          <w:sz w:val="28"/>
        </w:rPr>
        <w:t xml:space="preserve"> сведений, которые могут запрашиваться контрольным органом у контролируемого лица</w:t>
      </w:r>
      <w:r>
        <w:rPr>
          <w:sz w:val="28"/>
        </w:rPr>
        <w:t xml:space="preserve">;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сведени</w:t>
      </w:r>
      <w:r>
        <w:rPr>
          <w:sz w:val="28"/>
        </w:rPr>
        <w:t xml:space="preserve">я</w:t>
      </w:r>
      <w:r>
        <w:rPr>
          <w:sz w:val="28"/>
        </w:rPr>
        <w:t xml:space="preserve"> о способах получения консультаций по вопросам соблюдения обязательных требований</w:t>
      </w:r>
      <w:r>
        <w:rPr>
          <w:sz w:val="28"/>
        </w:rPr>
        <w:t xml:space="preserve">;</w:t>
      </w:r>
      <w:r/>
    </w:p>
    <w:p>
      <w:pPr>
        <w:pStyle w:val="844"/>
        <w:ind w:firstLine="540"/>
        <w:jc w:val="both"/>
        <w:rPr>
          <w:sz w:val="32"/>
          <w:szCs w:val="28"/>
        </w:rPr>
      </w:pPr>
      <w:r>
        <w:rPr>
          <w:sz w:val="28"/>
        </w:rPr>
        <w:t xml:space="preserve">доклад о муниципальном жилищном контроле</w:t>
      </w:r>
      <w:r>
        <w:rPr>
          <w:sz w:val="28"/>
        </w:rPr>
        <w:t xml:space="preserve">;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обеспечено информирование юридических лиц, индивидуальных предпринимателей по вопросам соблюдения обязательных требований, требований муниципальных правовых актов посредством:</w:t>
      </w:r>
      <w:r/>
    </w:p>
    <w:p>
      <w:pPr>
        <w:pStyle w:val="844"/>
        <w:ind w:firstLine="540"/>
        <w:jc w:val="both"/>
        <w:rPr>
          <w:sz w:val="32"/>
          <w:szCs w:val="28"/>
        </w:rPr>
      </w:pPr>
      <w:r>
        <w:rPr>
          <w:sz w:val="28"/>
        </w:rPr>
        <w:t xml:space="preserve">к</w:t>
      </w:r>
      <w:r>
        <w:rPr>
          <w:sz w:val="28"/>
        </w:rPr>
        <w:t xml:space="preserve">онсультировани</w:t>
      </w:r>
      <w:r>
        <w:rPr>
          <w:sz w:val="28"/>
        </w:rPr>
        <w:t xml:space="preserve">я</w:t>
      </w:r>
      <w:r>
        <w:rPr>
          <w:sz w:val="28"/>
        </w:rPr>
        <w:t xml:space="preserve"> посредством видео-конференц-связи, на личном приеме либо в ходе проведения профилактического мероприятия, контрольного мероприятия в порядке, установленном положением о виде контроля</w:t>
      </w:r>
      <w:r>
        <w:rPr>
          <w:sz w:val="28"/>
        </w:rPr>
        <w:t xml:space="preserve">;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постоянного мониторинга изменений обязательных требований, требований, установленных муниципальными правовыми актами, по итогам которого в общедоступных источниках (в рубрике "Муниципальный контроль" на официальном сайте, в средствах массовой информаци</w:t>
      </w:r>
      <w:r>
        <w:rPr>
          <w:sz w:val="28"/>
          <w:szCs w:val="28"/>
        </w:rPr>
        <w:t xml:space="preserve">и) размещается информация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действие;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официальном сайте в рубрике "Муниципальный контроль" размещены информация о результатах осуществления муниципального контроля на территории города Нижневартовска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рекомендации</w:t>
      </w:r>
      <w:r>
        <w:rPr>
          <w:sz w:val="28"/>
          <w:szCs w:val="28"/>
        </w:rPr>
        <w:t xml:space="preserve"> по соблюдению обязательных требований с разъяснением критериев правомерного поведения</w:t>
      </w:r>
      <w:r>
        <w:rPr>
          <w:sz w:val="28"/>
          <w:szCs w:val="28"/>
        </w:rPr>
        <w:t xml:space="preserve">.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п</w:t>
      </w:r>
      <w:r>
        <w:rPr>
          <w:sz w:val="28"/>
        </w:rPr>
        <w:t xml:space="preserve">рограммы профилактики рисков причинения вреда (ущерба) охраняемым законом ценностям при осуществлении муниципального жилищного контроля на 202</w:t>
      </w:r>
      <w:r>
        <w:rPr>
          <w:sz w:val="28"/>
        </w:rPr>
        <w:t xml:space="preserve">4 год по состоянию за 9 месяцев: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- размещение информации на официальном сайте органов местного самоуправления города Нижневартовска в соответствии со статьей 46 Федерального закона №248-ФЗ – 100%;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- доля контролируемых лиц, удовлетворенных консультированием в общем </w:t>
      </w:r>
      <w:r>
        <w:rPr>
          <w:sz w:val="28"/>
        </w:rPr>
        <w:t xml:space="preserve">количестве контролируемых лиц, обратившихся за консультацией – 100%.</w:t>
      </w:r>
      <w:r/>
    </w:p>
    <w:p>
      <w:pPr>
        <w:pStyle w:val="84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Основными пр</w:t>
      </w:r>
      <w:r>
        <w:rPr>
          <w:sz w:val="28"/>
          <w:szCs w:val="28"/>
        </w:rPr>
        <w:t xml:space="preserve">облемами, на решение которых направлена Программа, являются недостаточная информированность контролируемых лиц об обязательных требованиях и способах их исполнения, а также низкая мотивация добросовестного соблюдения обязательных требований данными лицами.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</w:t>
      </w:r>
      <w:r>
        <w:rPr>
          <w:b/>
          <w:sz w:val="28"/>
          <w:szCs w:val="28"/>
          <w:lang w:val="en-US"/>
        </w:rPr>
        <w:t xml:space="preserve">I</w:t>
      </w:r>
      <w:r>
        <w:rPr>
          <w:b/>
          <w:sz w:val="28"/>
          <w:szCs w:val="28"/>
        </w:rPr>
        <w:t xml:space="preserve">. Цели и задачи реализации Программы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3.1. Цели реализации Программы: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- стимулирование добросовестного соблюдения обязательных требований всеми контролируемыми лицами;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муниципального жилищного фонда;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3.2. Задачи реализации Программы: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- выявление причин, факторов и условий, способствующих нарушению обязательных требований, разработка мероприятий, направленных на устранение нарушений обязательных требований в отношении муниципального жилищного фонда;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- повышение правосознания и правовой культуры юридических лиц, индивидуальных предпринимателей и граждан в сфере жилищных правоотношений;</w:t>
      </w:r>
      <w:r/>
    </w:p>
    <w:p>
      <w:pPr>
        <w:pStyle w:val="844"/>
        <w:ind w:firstLine="540"/>
        <w:jc w:val="both"/>
        <w:rPr>
          <w:sz w:val="28"/>
        </w:rPr>
      </w:pPr>
      <w:r>
        <w:rPr>
          <w:sz w:val="28"/>
        </w:rPr>
        <w:t xml:space="preserve">- приоритет реализации профилактических мероприятий, направленных на снижение риска причинения вреда (ущерба), по отношению к проведению контрольных мероприятий.</w:t>
      </w:r>
      <w:r/>
    </w:p>
    <w:p>
      <w:pPr>
        <w:jc w:val="both"/>
        <w:rPr>
          <w:sz w:val="36"/>
          <w:szCs w:val="28"/>
        </w:rPr>
      </w:pPr>
      <w:r>
        <w:rPr>
          <w:sz w:val="36"/>
          <w:szCs w:val="28"/>
        </w:rPr>
      </w:r>
      <w:r/>
    </w:p>
    <w:p>
      <w:pPr>
        <w:pStyle w:val="845"/>
        <w:jc w:val="center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color w:val="26282f"/>
          <w:sz w:val="28"/>
          <w:szCs w:val="28"/>
          <w:lang w:val="en-US"/>
        </w:rPr>
        <w:t xml:space="preserve">I</w:t>
      </w:r>
      <w:r>
        <w:rPr>
          <w:rFonts w:ascii="Times New Roman" w:hAnsi="Times New Roman" w:cs="Times New Roman"/>
          <w:color w:val="26282f"/>
          <w:sz w:val="28"/>
          <w:szCs w:val="28"/>
          <w:lang w:val="en-US"/>
        </w:rPr>
        <w:t xml:space="preserve">V</w:t>
      </w:r>
      <w:r>
        <w:rPr>
          <w:rFonts w:ascii="Times New Roman" w:hAnsi="Times New Roman" w:cs="Times New Roman"/>
          <w:color w:val="26282f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Перечень профилактических мероприятий, </w:t>
      </w:r>
      <w:r/>
    </w:p>
    <w:p>
      <w:pPr>
        <w:pStyle w:val="845"/>
        <w:jc w:val="center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сроки (периодичность) их проведения</w:t>
      </w:r>
      <w:r/>
    </w:p>
    <w:p>
      <w:pPr>
        <w:pStyle w:val="845"/>
        <w:jc w:val="center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</w:r>
      <w:r/>
    </w:p>
    <w:tbl>
      <w:tblPr>
        <w:tblW w:w="9634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54"/>
        <w:gridCol w:w="3936"/>
        <w:gridCol w:w="1984"/>
        <w:gridCol w:w="3260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" w:type="dxa"/>
            <w:textDirection w:val="lrTb"/>
            <w:noWrap w:val="false"/>
          </w:tcPr>
          <w:p>
            <w:pPr>
              <w:pStyle w:val="844"/>
              <w:jc w:val="center"/>
            </w:pPr>
            <w:r>
              <w:t xml:space="preserve">№ п/п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pStyle w:val="844"/>
              <w:jc w:val="center"/>
            </w:pPr>
            <w:r>
              <w:t xml:space="preserve">Наименование профилактического мероприятия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Style w:val="844"/>
              <w:jc w:val="center"/>
            </w:pPr>
            <w:r>
              <w:t xml:space="preserve">Срок реализации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 w:val="false"/>
          </w:tcPr>
          <w:p>
            <w:pPr>
              <w:pStyle w:val="844"/>
              <w:jc w:val="center"/>
            </w:pPr>
            <w:r>
              <w:t xml:space="preserve">Ответственные должностные лица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" w:type="dxa"/>
            <w:vMerge w:val="restart"/>
            <w:textDirection w:val="lrTb"/>
            <w:noWrap w:val="false"/>
          </w:tcPr>
          <w:p>
            <w:pPr>
              <w:pStyle w:val="844"/>
            </w:pPr>
            <w:r>
              <w:t xml:space="preserve">1.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pStyle w:val="844"/>
            </w:pPr>
            <w:r>
              <w:t xml:space="preserve">Информирование посредством размещения (поддержания в актуальном состоянии) на официальном сайте: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Style w:val="844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 w:val="false"/>
          </w:tcPr>
          <w:p>
            <w:pPr>
              <w:pStyle w:val="844"/>
            </w:pPr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" w:type="dxa"/>
            <w:vMerge w:val="continue"/>
            <w:textDirection w:val="lrTb"/>
            <w:noWrap w:val="false"/>
          </w:tcPr>
          <w:p>
            <w:pPr>
              <w:pStyle w:val="844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pStyle w:val="844"/>
            </w:pPr>
            <w:r>
              <w:t xml:space="preserve">текстов нормативных правовых актов, регулирующих осуществление муниципального жилищного контроля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Style w:val="844"/>
            </w:pPr>
            <w:r>
              <w:t xml:space="preserve">в течение года (по мере необходимости)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 w:val="false"/>
          </w:tcPr>
          <w:p>
            <w:pPr>
              <w:pStyle w:val="844"/>
            </w:pPr>
            <w:r>
              <w:t xml:space="preserve">начальник отдела - муниципальный жилищный инспектор отдела муниципального жилищного контроля управления </w:t>
            </w:r>
            <w:r>
              <w:t xml:space="preserve">муниципального контроля администрации города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" w:type="dxa"/>
            <w:vMerge w:val="continue"/>
            <w:textDirection w:val="lrTb"/>
            <w:noWrap w:val="false"/>
          </w:tcPr>
          <w:p>
            <w:pPr>
              <w:pStyle w:val="844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pStyle w:val="844"/>
            </w:pPr>
            <w:r>
              <w:t xml:space="preserve">сведений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Style w:val="844"/>
            </w:pPr>
            <w:r>
              <w:t xml:space="preserve">в течение года (по мере необходимости)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 w:val="false"/>
          </w:tcPr>
          <w:p>
            <w:pPr>
              <w:pStyle w:val="844"/>
            </w:pPr>
            <w:r>
              <w:t xml:space="preserve"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" w:type="dxa"/>
            <w:vMerge w:val="continue"/>
            <w:textDirection w:val="lrTb"/>
            <w:noWrap w:val="false"/>
          </w:tcPr>
          <w:p>
            <w:pPr>
              <w:pStyle w:val="844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pStyle w:val="844"/>
            </w:pPr>
            <w:r>
              <w:t xml:space="preserve">перечня нормативных правовых актов с указанием структурных единиц </w:t>
            </w:r>
            <w:r>
              <w:t xml:space="preserve">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Style w:val="844"/>
            </w:pPr>
            <w:r>
              <w:t xml:space="preserve">в течение года (по мере необходимости)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 w:val="false"/>
          </w:tcPr>
          <w:p>
            <w:pPr>
              <w:pStyle w:val="844"/>
            </w:pPr>
            <w:r>
              <w:t xml:space="preserve"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  <w:r/>
          </w:p>
        </w:tc>
      </w:tr>
      <w:tr>
        <w:trPr>
          <w:trHeight w:val="197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" w:type="dxa"/>
            <w:vMerge w:val="continue"/>
            <w:textDirection w:val="lrTb"/>
            <w:noWrap w:val="false"/>
          </w:tcPr>
          <w:p>
            <w:pPr>
              <w:pStyle w:val="844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pStyle w:val="844"/>
            </w:pPr>
            <w:r>
              <w:t xml:space="preserve">перечня индикаторов риска нарушения обязательных требований, порядка отнесения объектов контроля к категориям риска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Style w:val="844"/>
            </w:pPr>
            <w:r>
              <w:t xml:space="preserve">в течение года (по мере необходимости)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260" w:type="dxa"/>
            <w:textDirection w:val="lrTb"/>
            <w:noWrap w:val="false"/>
          </w:tcPr>
          <w:p>
            <w:pPr>
              <w:pStyle w:val="844"/>
            </w:pPr>
            <w:r>
              <w:t xml:space="preserve"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" w:type="dxa"/>
            <w:vMerge w:val="continue"/>
            <w:textDirection w:val="lrTb"/>
            <w:noWrap w:val="false"/>
          </w:tcPr>
          <w:p>
            <w:pPr>
              <w:pStyle w:val="844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pStyle w:val="844"/>
            </w:pPr>
            <w:r>
              <w:t xml:space="preserve">исчерпывающего перечня сведений, которые могут запрашиваться контрольным органом у контролируемого лица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Style w:val="844"/>
            </w:pPr>
            <w:r>
              <w:t xml:space="preserve">в течение года (по мере необходимости)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 w:val="false"/>
          </w:tcPr>
          <w:p>
            <w:pPr>
              <w:pStyle w:val="844"/>
            </w:pPr>
            <w:r>
              <w:t xml:space="preserve"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" w:type="dxa"/>
            <w:vMerge w:val="continue"/>
            <w:textDirection w:val="lrTb"/>
            <w:noWrap w:val="false"/>
          </w:tcPr>
          <w:p>
            <w:pPr>
              <w:pStyle w:val="844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pStyle w:val="844"/>
            </w:pPr>
            <w:r>
              <w:t xml:space="preserve">сведений о способах получения консультаций по вопросам соблюдения обязательных требований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Style w:val="844"/>
            </w:pPr>
            <w:r>
              <w:t xml:space="preserve">в течение года (по мере необходимости)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 w:val="false"/>
          </w:tcPr>
          <w:p>
            <w:pPr>
              <w:pStyle w:val="844"/>
            </w:pPr>
            <w:r>
              <w:t xml:space="preserve"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" w:type="dxa"/>
            <w:vMerge w:val="continue"/>
            <w:textDirection w:val="lrTb"/>
            <w:noWrap w:val="false"/>
          </w:tcPr>
          <w:p>
            <w:pPr>
              <w:pStyle w:val="844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pStyle w:val="844"/>
            </w:pPr>
            <w:r>
              <w:t xml:space="preserve">доклада о муниципальном жилищном контроле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Style w:val="844"/>
            </w:pPr>
            <w:r>
              <w:t xml:space="preserve">в течение 5 дней с даты утверждения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 w:val="false"/>
          </w:tcPr>
          <w:p>
            <w:pPr>
              <w:pStyle w:val="844"/>
            </w:pPr>
            <w:r>
              <w:t xml:space="preserve">начальник отдела - муниципальный жилищный инспектор отдела муниципального жилищного </w:t>
            </w:r>
            <w:r>
              <w:t xml:space="preserve">контроля управления муниципального контроля администрации города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" w:type="dxa"/>
            <w:vMerge w:val="continue"/>
            <w:textDirection w:val="lrTb"/>
            <w:noWrap w:val="false"/>
          </w:tcPr>
          <w:p>
            <w:pPr>
              <w:pStyle w:val="844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pStyle w:val="844"/>
            </w:pPr>
            <w:r>
              <w:t xml:space="preserve">Направление</w:t>
            </w:r>
            <w:r>
              <w:t xml:space="preserve"> предостережения о недопустимости нарушения обязательных требований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Style w:val="844"/>
            </w:pPr>
            <w:r>
              <w:t xml:space="preserve">в течение года (при наличии оснований)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 w:val="false"/>
          </w:tcPr>
          <w:p>
            <w:pPr>
              <w:pStyle w:val="844"/>
            </w:pPr>
            <w:r>
              <w:t xml:space="preserve"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" w:type="dxa"/>
            <w:textDirection w:val="lrTb"/>
            <w:noWrap w:val="false"/>
          </w:tcPr>
          <w:p>
            <w:pPr>
              <w:pStyle w:val="844"/>
            </w:pPr>
            <w:r>
              <w:t xml:space="preserve">2.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pStyle w:val="844"/>
            </w:pPr>
            <w:r>
              <w:t xml:space="preserve">Консультирование посредством видео-конференц-связи, на личном приеме либо в ходе проведения профилактического мероприятия, контрольного мероприятия в порядке, установленном положением о виде контроля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Style w:val="844"/>
            </w:pPr>
            <w:r>
              <w:t xml:space="preserve">в течение года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 w:val="false"/>
          </w:tcPr>
          <w:p>
            <w:pPr>
              <w:pStyle w:val="844"/>
            </w:pPr>
            <w:r>
              <w:t xml:space="preserve"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4" w:type="dxa"/>
            <w:textDirection w:val="lrTb"/>
            <w:noWrap w:val="false"/>
          </w:tcPr>
          <w:p>
            <w:pPr>
              <w:pStyle w:val="844"/>
            </w:pPr>
            <w:r>
              <w:t xml:space="preserve">3.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pStyle w:val="844"/>
            </w:pPr>
            <w:r>
              <w:t xml:space="preserve">Профилактический визит в целях информирования об обязательных требованиях, предъявляемых к его деятельности либо к принадлежащим объектам контроля, их соответ</w:t>
            </w:r>
            <w:r>
              <w:t xml:space="preserve">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контроля исходя из его отнесения к соответствующей категории риска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Style w:val="844"/>
            </w:pPr>
            <w:r>
              <w:t xml:space="preserve">один раз в квартал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textDirection w:val="lrTb"/>
            <w:noWrap w:val="false"/>
          </w:tcPr>
          <w:p>
            <w:pPr>
              <w:pStyle w:val="844"/>
            </w:pPr>
            <w:r>
              <w:t xml:space="preserve"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  <w:r/>
          </w:p>
        </w:tc>
      </w:tr>
    </w:tbl>
    <w:p>
      <w:pPr>
        <w:jc w:val="center"/>
        <w:rPr>
          <w:sz w:val="36"/>
          <w:szCs w:val="28"/>
        </w:rPr>
      </w:pPr>
      <w:r>
        <w:rPr>
          <w:sz w:val="36"/>
          <w:szCs w:val="28"/>
        </w:rPr>
      </w:r>
      <w:r/>
    </w:p>
    <w:p>
      <w:pPr>
        <w:pStyle w:val="845"/>
        <w:jc w:val="center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V. </w:t>
      </w:r>
      <w:r>
        <w:rPr>
          <w:rFonts w:ascii="Times New Roman" w:hAnsi="Times New Roman" w:cs="Times New Roman"/>
          <w:sz w:val="28"/>
          <w:szCs w:val="28"/>
        </w:rPr>
        <w:t xml:space="preserve">Показатели результативности и эффективности Программы</w:t>
      </w:r>
      <w:r/>
    </w:p>
    <w:p>
      <w:pPr>
        <w:pStyle w:val="844"/>
        <w:jc w:val="both"/>
      </w:pPr>
      <w:r/>
      <w:r/>
    </w:p>
    <w:tbl>
      <w:tblPr>
        <w:tblW w:w="9634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>
        <w:trPr>
          <w:trHeight w:val="104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41" w:type="dxa"/>
            <w:textDirection w:val="lrTb"/>
            <w:noWrap w:val="false"/>
          </w:tcPr>
          <w:p>
            <w:pPr>
              <w:pStyle w:val="844"/>
              <w:jc w:val="center"/>
            </w:pPr>
            <w:r>
              <w:t xml:space="preserve">Наименование показателя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pStyle w:val="844"/>
              <w:jc w:val="center"/>
            </w:pPr>
            <w:r>
              <w:t xml:space="preserve">Исполнение</w:t>
            </w:r>
            <w:r/>
          </w:p>
          <w:p>
            <w:pPr>
              <w:pStyle w:val="844"/>
              <w:jc w:val="center"/>
            </w:pPr>
            <w:r>
              <w:t xml:space="preserve">п</w:t>
            </w:r>
            <w:r>
              <w:t xml:space="preserve">оказателя</w:t>
            </w:r>
            <w:r>
              <w:t xml:space="preserve"> в</w:t>
            </w:r>
            <w:r/>
          </w:p>
          <w:p>
            <w:pPr>
              <w:pStyle w:val="844"/>
              <w:jc w:val="center"/>
            </w:pPr>
            <w:r>
              <w:t xml:space="preserve">202</w:t>
            </w:r>
            <w:r>
              <w:t xml:space="preserve">5 год</w:t>
            </w:r>
            <w:r>
              <w:t xml:space="preserve">у</w:t>
            </w:r>
            <w:bookmarkStart w:id="0" w:name="_GoBack"/>
            <w:r/>
            <w:bookmarkEnd w:id="0"/>
            <w:r>
              <w:t xml:space="preserve">,</w:t>
            </w:r>
            <w:r/>
          </w:p>
          <w:p>
            <w:pPr>
              <w:pStyle w:val="844"/>
              <w:jc w:val="center"/>
            </w:pPr>
            <w:r>
              <w:t xml:space="preserve">%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41" w:type="dxa"/>
            <w:textDirection w:val="lrTb"/>
            <w:noWrap w:val="false"/>
          </w:tcPr>
          <w:p>
            <w:pPr>
              <w:pStyle w:val="844"/>
              <w:jc w:val="both"/>
            </w:pPr>
            <w:r>
              <w:t xml:space="preserve">Полнота информации, размещенной на официальном сайте органов местного самоуправления города Нижневартовска в соответствии со  статьей 46</w:t>
            </w:r>
            <w:r>
              <w:t xml:space="preserve"> Федеральн</w:t>
            </w:r>
            <w:r>
              <w:t xml:space="preserve">ого</w:t>
            </w:r>
            <w:r>
              <w:t xml:space="preserve"> закон</w:t>
            </w:r>
            <w:r>
              <w:t xml:space="preserve">а</w:t>
            </w:r>
            <w:r>
              <w:t xml:space="preserve"> №248-ФЗ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pStyle w:val="844"/>
            </w:pPr>
            <w:r>
              <w:t xml:space="preserve">100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41" w:type="dxa"/>
            <w:textDirection w:val="lrTb"/>
            <w:noWrap w:val="false"/>
          </w:tcPr>
          <w:p>
            <w:pPr>
              <w:pStyle w:val="844"/>
              <w:jc w:val="both"/>
            </w:pPr>
            <w:r>
              <w:t xml:space="preserve">Доля контролируемых лиц, удовлетворенных консультированием в общем количестве контролируемых лиц, обратившихся за консультацией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pStyle w:val="844"/>
            </w:pPr>
            <w:r>
              <w:t xml:space="preserve">100</w:t>
            </w:r>
            <w:r/>
          </w:p>
        </w:tc>
      </w:tr>
    </w:tbl>
    <w:p>
      <w:pPr>
        <w:jc w:val="center"/>
        <w:rPr>
          <w:sz w:val="36"/>
          <w:szCs w:val="28"/>
        </w:rPr>
      </w:pPr>
      <w:r>
        <w:rPr>
          <w:sz w:val="36"/>
          <w:szCs w:val="28"/>
        </w:rPr>
      </w:r>
      <w:r/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319653876"/>
      <w:docPartObj>
        <w:docPartGallery w:val="Page Numbers (Top of Page)"/>
        <w:docPartUnique w:val="true"/>
      </w:docPartObj>
      <w:rPr/>
    </w:sdtPr>
    <w:sdtContent>
      <w:p>
        <w:pPr>
          <w:pStyle w:val="84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7</w:t>
        </w:r>
        <w:r>
          <w:fldChar w:fldCharType="end"/>
        </w:r>
        <w:r/>
      </w:p>
    </w:sdtContent>
  </w:sdt>
  <w:p>
    <w:pPr>
      <w:pStyle w:val="84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0">
    <w:name w:val="Heading 1 Char"/>
    <w:basedOn w:val="836"/>
    <w:link w:val="835"/>
    <w:uiPriority w:val="9"/>
    <w:rPr>
      <w:rFonts w:ascii="Arial" w:hAnsi="Arial" w:eastAsia="Arial" w:cs="Arial"/>
      <w:sz w:val="40"/>
      <w:szCs w:val="40"/>
    </w:rPr>
  </w:style>
  <w:style w:type="paragraph" w:styleId="661">
    <w:name w:val="Heading 2"/>
    <w:basedOn w:val="834"/>
    <w:next w:val="834"/>
    <w:link w:val="66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2">
    <w:name w:val="Heading 2 Char"/>
    <w:basedOn w:val="836"/>
    <w:link w:val="661"/>
    <w:uiPriority w:val="9"/>
    <w:rPr>
      <w:rFonts w:ascii="Arial" w:hAnsi="Arial" w:eastAsia="Arial" w:cs="Arial"/>
      <w:sz w:val="34"/>
    </w:rPr>
  </w:style>
  <w:style w:type="paragraph" w:styleId="663">
    <w:name w:val="Heading 3"/>
    <w:basedOn w:val="834"/>
    <w:next w:val="834"/>
    <w:link w:val="66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4">
    <w:name w:val="Heading 3 Char"/>
    <w:basedOn w:val="836"/>
    <w:link w:val="663"/>
    <w:uiPriority w:val="9"/>
    <w:rPr>
      <w:rFonts w:ascii="Arial" w:hAnsi="Arial" w:eastAsia="Arial" w:cs="Arial"/>
      <w:sz w:val="30"/>
      <w:szCs w:val="30"/>
    </w:rPr>
  </w:style>
  <w:style w:type="paragraph" w:styleId="665">
    <w:name w:val="Heading 4"/>
    <w:basedOn w:val="834"/>
    <w:next w:val="834"/>
    <w:link w:val="66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6">
    <w:name w:val="Heading 4 Char"/>
    <w:basedOn w:val="836"/>
    <w:link w:val="665"/>
    <w:uiPriority w:val="9"/>
    <w:rPr>
      <w:rFonts w:ascii="Arial" w:hAnsi="Arial" w:eastAsia="Arial" w:cs="Arial"/>
      <w:b/>
      <w:bCs/>
      <w:sz w:val="26"/>
      <w:szCs w:val="26"/>
    </w:rPr>
  </w:style>
  <w:style w:type="paragraph" w:styleId="667">
    <w:name w:val="Heading 5"/>
    <w:basedOn w:val="834"/>
    <w:next w:val="834"/>
    <w:link w:val="66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8">
    <w:name w:val="Heading 5 Char"/>
    <w:basedOn w:val="836"/>
    <w:link w:val="667"/>
    <w:uiPriority w:val="9"/>
    <w:rPr>
      <w:rFonts w:ascii="Arial" w:hAnsi="Arial" w:eastAsia="Arial" w:cs="Arial"/>
      <w:b/>
      <w:bCs/>
      <w:sz w:val="24"/>
      <w:szCs w:val="24"/>
    </w:rPr>
  </w:style>
  <w:style w:type="paragraph" w:styleId="669">
    <w:name w:val="Heading 6"/>
    <w:basedOn w:val="834"/>
    <w:next w:val="834"/>
    <w:link w:val="67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0">
    <w:name w:val="Heading 6 Char"/>
    <w:basedOn w:val="836"/>
    <w:link w:val="669"/>
    <w:uiPriority w:val="9"/>
    <w:rPr>
      <w:rFonts w:ascii="Arial" w:hAnsi="Arial" w:eastAsia="Arial" w:cs="Arial"/>
      <w:b/>
      <w:bCs/>
      <w:sz w:val="22"/>
      <w:szCs w:val="22"/>
    </w:rPr>
  </w:style>
  <w:style w:type="paragraph" w:styleId="671">
    <w:name w:val="Heading 7"/>
    <w:basedOn w:val="834"/>
    <w:next w:val="834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7 Char"/>
    <w:basedOn w:val="836"/>
    <w:link w:val="67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3">
    <w:name w:val="Heading 8"/>
    <w:basedOn w:val="834"/>
    <w:next w:val="834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4">
    <w:name w:val="Heading 8 Char"/>
    <w:basedOn w:val="836"/>
    <w:link w:val="673"/>
    <w:uiPriority w:val="9"/>
    <w:rPr>
      <w:rFonts w:ascii="Arial" w:hAnsi="Arial" w:eastAsia="Arial" w:cs="Arial"/>
      <w:i/>
      <w:iCs/>
      <w:sz w:val="22"/>
      <w:szCs w:val="22"/>
    </w:rPr>
  </w:style>
  <w:style w:type="paragraph" w:styleId="675">
    <w:name w:val="Heading 9"/>
    <w:basedOn w:val="834"/>
    <w:next w:val="834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Heading 9 Char"/>
    <w:basedOn w:val="836"/>
    <w:link w:val="675"/>
    <w:uiPriority w:val="9"/>
    <w:rPr>
      <w:rFonts w:ascii="Arial" w:hAnsi="Arial" w:eastAsia="Arial" w:cs="Arial"/>
      <w:i/>
      <w:iCs/>
      <w:sz w:val="21"/>
      <w:szCs w:val="21"/>
    </w:rPr>
  </w:style>
  <w:style w:type="paragraph" w:styleId="677">
    <w:name w:val="List Paragraph"/>
    <w:basedOn w:val="834"/>
    <w:uiPriority w:val="34"/>
    <w:qFormat/>
    <w:pPr>
      <w:contextualSpacing/>
      <w:ind w:left="720"/>
    </w:p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4"/>
    <w:next w:val="834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basedOn w:val="836"/>
    <w:link w:val="679"/>
    <w:uiPriority w:val="10"/>
    <w:rPr>
      <w:sz w:val="48"/>
      <w:szCs w:val="48"/>
    </w:rPr>
  </w:style>
  <w:style w:type="paragraph" w:styleId="681">
    <w:name w:val="Subtitle"/>
    <w:basedOn w:val="834"/>
    <w:next w:val="834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6"/>
    <w:link w:val="681"/>
    <w:uiPriority w:val="11"/>
    <w:rPr>
      <w:sz w:val="24"/>
      <w:szCs w:val="24"/>
    </w:rPr>
  </w:style>
  <w:style w:type="paragraph" w:styleId="683">
    <w:name w:val="Quote"/>
    <w:basedOn w:val="834"/>
    <w:next w:val="834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4"/>
    <w:next w:val="834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character" w:styleId="687">
    <w:name w:val="Header Char"/>
    <w:basedOn w:val="836"/>
    <w:link w:val="848"/>
    <w:uiPriority w:val="99"/>
  </w:style>
  <w:style w:type="character" w:styleId="688">
    <w:name w:val="Footer Char"/>
    <w:basedOn w:val="836"/>
    <w:link w:val="850"/>
    <w:uiPriority w:val="99"/>
  </w:style>
  <w:style w:type="paragraph" w:styleId="689">
    <w:name w:val="Caption"/>
    <w:basedOn w:val="834"/>
    <w:next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689"/>
    <w:link w:val="850"/>
    <w:uiPriority w:val="99"/>
  </w:style>
  <w:style w:type="table" w:styleId="691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1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2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3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4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5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6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8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2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5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9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6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6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5">
    <w:name w:val="Heading 1"/>
    <w:basedOn w:val="834"/>
    <w:next w:val="834"/>
    <w:link w:val="847"/>
    <w:qFormat/>
    <w:pPr>
      <w:keepNext/>
      <w:outlineLvl w:val="0"/>
    </w:pPr>
    <w:rPr>
      <w:sz w:val="28"/>
      <w:szCs w:val="20"/>
    </w:rPr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character" w:styleId="839">
    <w:name w:val="Hyperlink"/>
    <w:basedOn w:val="836"/>
    <w:uiPriority w:val="99"/>
    <w:semiHidden/>
    <w:unhideWhenUsed/>
    <w:rPr>
      <w:color w:val="0000ff"/>
      <w:u w:val="single"/>
    </w:rPr>
  </w:style>
  <w:style w:type="paragraph" w:styleId="840">
    <w:name w:val="HTML Preformatted"/>
    <w:basedOn w:val="834"/>
    <w:link w:val="841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841" w:customStyle="1">
    <w:name w:val="Стандартный HTML Знак"/>
    <w:basedOn w:val="836"/>
    <w:link w:val="840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842">
    <w:name w:val="Balloon Text"/>
    <w:basedOn w:val="834"/>
    <w:link w:val="84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43" w:customStyle="1">
    <w:name w:val="Текст выноски Знак"/>
    <w:basedOn w:val="836"/>
    <w:link w:val="842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44" w:customStyle="1">
    <w:name w:val="ConsPlusNormal"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845" w:customStyle="1">
    <w:name w:val="ConsPlusTitle"/>
    <w:uiPriority w:val="99"/>
    <w:pPr>
      <w:spacing w:after="0" w:line="240" w:lineRule="auto"/>
      <w:widowControl w:val="off"/>
    </w:pPr>
    <w:rPr>
      <w:rFonts w:ascii="Arial" w:hAnsi="Arial" w:cs="Arial" w:eastAsiaTheme="minorEastAsia"/>
      <w:b/>
      <w:bCs/>
      <w:sz w:val="24"/>
      <w:szCs w:val="24"/>
      <w:lang w:eastAsia="ru-RU"/>
    </w:rPr>
  </w:style>
  <w:style w:type="paragraph" w:styleId="846">
    <w:name w:val="Normal (Web)"/>
    <w:basedOn w:val="834"/>
    <w:uiPriority w:val="99"/>
    <w:unhideWhenUsed/>
    <w:pPr>
      <w:spacing w:before="100" w:beforeAutospacing="1" w:after="100" w:afterAutospacing="1"/>
    </w:pPr>
  </w:style>
  <w:style w:type="character" w:styleId="847" w:customStyle="1">
    <w:name w:val="Заголовок 1 Знак"/>
    <w:basedOn w:val="836"/>
    <w:link w:val="835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48">
    <w:name w:val="Header"/>
    <w:basedOn w:val="834"/>
    <w:link w:val="84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9" w:customStyle="1">
    <w:name w:val="Верхний колонтитул Знак"/>
    <w:basedOn w:val="836"/>
    <w:link w:val="848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50">
    <w:name w:val="Footer"/>
    <w:basedOn w:val="834"/>
    <w:link w:val="85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51" w:customStyle="1">
    <w:name w:val="Нижний колонтитул Знак"/>
    <w:basedOn w:val="836"/>
    <w:link w:val="85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yperlink" Target="https://login.consultant.ru/link/?req=doc&amp;base=LAW&amp;n=402648&amp;date=20.09.2022&amp;dst=100482&amp;field=134" TargetMode="External"/><Relationship Id="rId10" Type="http://schemas.openxmlformats.org/officeDocument/2006/relationships/hyperlink" Target="https://login.consultant.ru/link/?req=doc&amp;base=LAW&amp;n=388492&amp;date=20.09.2022" TargetMode="External"/><Relationship Id="rId11" Type="http://schemas.openxmlformats.org/officeDocument/2006/relationships/hyperlink" Target="https://login.consultant.ru/link/?req=doc&amp;base=LAW&amp;n=386984&amp;date=20.09.2022" TargetMode="External"/><Relationship Id="rId12" Type="http://schemas.openxmlformats.org/officeDocument/2006/relationships/hyperlink" Target="https://login.consultant.ru/link/?req=doc&amp;base=LAW&amp;n=402648&amp;date=20.09.2022" TargetMode="External"/><Relationship Id="rId13" Type="http://schemas.openxmlformats.org/officeDocument/2006/relationships/hyperlink" Target="https://login.consultant.ru/link/?req=doc&amp;base=LAW&amp;n=388492&amp;date=20.09.2022" TargetMode="External"/><Relationship Id="rId14" Type="http://schemas.openxmlformats.org/officeDocument/2006/relationships/hyperlink" Target="https://login.consultant.ru/link/?req=doc&amp;base=LAW&amp;n=373476&amp;date=20.09.2022" TargetMode="External"/><Relationship Id="rId15" Type="http://schemas.openxmlformats.org/officeDocument/2006/relationships/hyperlink" Target="https://login.consultant.ru/link/?req=doc&amp;base=LAW&amp;n=356129&amp;date=20.09.2022" TargetMode="External"/><Relationship Id="rId16" Type="http://schemas.openxmlformats.org/officeDocument/2006/relationships/hyperlink" Target="https://login.consultant.ru/link/?req=doc&amp;base=LAW&amp;n=392661&amp;date=20.09.2022" TargetMode="External"/><Relationship Id="rId17" Type="http://schemas.openxmlformats.org/officeDocument/2006/relationships/hyperlink" Target="https://login.consultant.ru/link/?req=doc&amp;base=LAW&amp;n=356131&amp;date=20.09.2022" TargetMode="External"/><Relationship Id="rId18" Type="http://schemas.openxmlformats.org/officeDocument/2006/relationships/hyperlink" Target="https://login.consultant.ru/link/?req=doc&amp;base=LAW&amp;n=305825&amp;date=20.09.2022" TargetMode="External"/><Relationship Id="rId19" Type="http://schemas.openxmlformats.org/officeDocument/2006/relationships/hyperlink" Target="https://login.consultant.ru/link/?req=doc&amp;base=LAW&amp;n=44772&amp;date=20.09.2022" TargetMode="External"/><Relationship Id="rId20" Type="http://schemas.openxmlformats.org/officeDocument/2006/relationships/hyperlink" Target="https://login.consultant.ru/link/?req=doc&amp;base=RLAW926&amp;n=233128&amp;date=20.09.2022" TargetMode="External"/><Relationship Id="rId21" Type="http://schemas.openxmlformats.org/officeDocument/2006/relationships/hyperlink" Target="https://login.consultant.ru/link/?req=doc&amp;base=LAW&amp;n=387669&amp;date=20.09.2022&amp;dst=7998&amp;field=134" TargetMode="External"/><Relationship Id="rId22" Type="http://schemas.openxmlformats.org/officeDocument/2006/relationships/hyperlink" Target="https://login.consultant.ru/link/?req=doc&amp;base=RLAW926&amp;n=223961&amp;date=20.09.2022&amp;dst=100010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Блюмский Сергей Михайлович</dc:creator>
  <cp:keywords/>
  <dc:description/>
  <cp:revision>18</cp:revision>
  <dcterms:created xsi:type="dcterms:W3CDTF">2023-09-19T05:32:00Z</dcterms:created>
  <dcterms:modified xsi:type="dcterms:W3CDTF">2024-09-25T11:36:30Z</dcterms:modified>
</cp:coreProperties>
</file>