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</w:rPr>
      </w:pPr>
      <w:r/>
      <w:bookmarkStart w:id="0" w:name="_GoBack"/>
      <w:r/>
      <w:bookmarkEnd w:id="0"/>
      <w:r>
        <w:rPr>
          <w:b/>
        </w:rPr>
        <w:t xml:space="preserve">Сообщение</w:t>
      </w:r>
      <w:r>
        <w:rPr>
          <w:b/>
        </w:rPr>
      </w:r>
      <w:r>
        <w:rPr>
          <w:b/>
        </w:rPr>
      </w:r>
    </w:p>
    <w:p>
      <w:pPr>
        <w:jc w:val="center"/>
        <w:spacing w:after="0"/>
        <w:rPr>
          <w:b/>
          <w:bCs/>
        </w:rPr>
      </w:pPr>
      <w:r>
        <w:rPr>
          <w:b/>
        </w:rPr>
        <w:t xml:space="preserve">о возможном установлении публичного сервитута в целях размещения </w:t>
      </w:r>
      <w:r>
        <w:rPr>
          <w:b/>
        </w:rPr>
        <w:t xml:space="preserve">о</w:t>
      </w:r>
      <w:r>
        <w:rPr>
          <w:b/>
        </w:rPr>
        <w:t xml:space="preserve">бъекта электросетевого хозяйства регионального значения Ханты-Мансийского автономного округа – Югры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</w:t>
      </w:r>
      <w:r>
        <w:rPr>
          <w:b/>
        </w:rPr>
        <w:t xml:space="preserve">невартовская»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709"/>
        <w:jc w:val="both"/>
        <w:spacing w:after="0"/>
      </w:pPr>
      <w:r>
        <w:t xml:space="preserve">В соответствии со статьей 39.42 Земельного кодекса Российской Федерации, в связи с ходатайством акционерного общества</w:t>
      </w:r>
      <w:r>
        <w:rPr>
          <w:szCs w:val="28"/>
        </w:rPr>
        <w:t xml:space="preserve"> «Россети Тюмень»</w:t>
      </w:r>
      <w:r>
        <w:t xml:space="preserve">, Департамент недропользования и природных ресурсов </w:t>
      </w:r>
      <w:r>
        <w:t xml:space="preserve">Ханты-Мансийского автономного округа – Югры</w:t>
      </w:r>
      <w:r>
        <w:t xml:space="preserve">, Департамент по управлению государственным имуществом Ханты-Мансийского автономного</w:t>
        <w:br/>
        <w:t xml:space="preserve">округа – Югры информируют</w:t>
      </w:r>
      <w:r>
        <w:t xml:space="preserve"> о возможном установлении публичного сервитута с целью </w:t>
      </w:r>
      <w:r>
        <w:t xml:space="preserve">р</w:t>
      </w:r>
      <w:r>
        <w:t xml:space="preserve">азмещения объекта электросетевого хозяйства регионального значения Ханты-Мансийского автономного округа – Югры Электросетевой комплекс «ПС 110/35/6 кВ Нижневартовская</w:t>
        <w:br/>
        <w:t xml:space="preserve">с прилегающими ВЛ 110 кВ: Мегион-Нижневартовская, Мегион-Центральная, Восток-Центральная,</w:t>
      </w:r>
      <w:r>
        <w:t xml:space="preserve"> Восток-Нижневартовская»</w:t>
      </w:r>
      <w:r>
        <w:rPr>
          <w:bCs/>
        </w:rPr>
        <w:br/>
        <w:t xml:space="preserve">на территории муниципальных образований: Нижневартовский район</w:t>
        <w:br/>
        <w:t xml:space="preserve">и городской округ Нижневартовск.</w:t>
      </w:r>
      <w:r/>
    </w:p>
    <w:p>
      <w:pPr>
        <w:ind w:firstLine="70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2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Наименование уполномоченного органа, которым рассматривается ходатайство об установлении публичного сервитута.</w:t>
      </w:r>
      <w:r>
        <w:rPr>
          <w:b/>
        </w:rPr>
      </w:r>
      <w:r>
        <w:rPr>
          <w:b/>
        </w:rPr>
      </w:r>
    </w:p>
    <w:p>
      <w:pPr>
        <w:pStyle w:val="892"/>
        <w:ind w:left="0" w:firstLine="709"/>
        <w:jc w:val="both"/>
      </w:pPr>
      <w:r>
        <w:t xml:space="preserve">Департамент недропользования и природных ресурсов </w:t>
      </w:r>
      <w:r>
        <w:t xml:space="preserve">Ханты-Мансийского автономного округа – Югры</w:t>
      </w:r>
      <w:r>
        <w:t xml:space="preserve">;</w:t>
      </w:r>
      <w:r/>
    </w:p>
    <w:p>
      <w:pPr>
        <w:pStyle w:val="892"/>
        <w:ind w:left="0" w:firstLine="709"/>
        <w:jc w:val="both"/>
      </w:pPr>
      <w:r>
        <w:t xml:space="preserve">Департамент по управлению государственным имуществом Ханты-Мансийского автономного округа – Югры.</w:t>
      </w:r>
      <w:r/>
    </w:p>
    <w:p>
      <w:pPr>
        <w:pStyle w:val="892"/>
        <w:ind w:left="0" w:firstLine="709"/>
        <w:jc w:val="both"/>
      </w:pPr>
      <w:r/>
      <w:r/>
    </w:p>
    <w:p>
      <w:pPr>
        <w:pStyle w:val="892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Цели установления публичного сервитута.</w:t>
      </w:r>
      <w:r>
        <w:rPr>
          <w:b/>
        </w:rPr>
      </w:r>
      <w:r>
        <w:rPr>
          <w:b/>
        </w:rPr>
      </w:r>
    </w:p>
    <w:p>
      <w:pPr>
        <w:ind w:firstLine="708"/>
        <w:jc w:val="both"/>
        <w:spacing w:after="0"/>
        <w:rPr>
          <w:b/>
        </w:rPr>
      </w:pPr>
      <w:r>
        <w:t xml:space="preserve">Р</w:t>
      </w:r>
      <w:r>
        <w:t xml:space="preserve">азмещение объекта электросетевого хозяйства регионального значения Ханты-Мансийского автономного округа – Югры Электросетевой комплекс «ПС 110/35/6 кВ Нижневартовская</w:t>
        <w:br/>
        <w:t xml:space="preserve">с прилегающими ВЛ 110 кВ: Мегион-Нижневартовская, Мегион-Центральная, Восток-Центральная,</w:t>
      </w:r>
      <w:r>
        <w:t xml:space="preserve"> Восток-Нижневартовская»</w:t>
      </w:r>
      <w:r>
        <w:t xml:space="preserve">.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spacing w:after="0"/>
      </w:pPr>
      <w:r/>
      <w:r/>
    </w:p>
    <w:p>
      <w:pPr>
        <w:pStyle w:val="892"/>
        <w:numPr>
          <w:ilvl w:val="0"/>
          <w:numId w:val="2"/>
        </w:numPr>
        <w:ind w:left="0" w:firstLine="709"/>
        <w:jc w:val="both"/>
        <w:spacing w:after="0"/>
        <w:rPr>
          <w:b/>
        </w:rPr>
      </w:pPr>
      <w:r>
        <w:rPr>
          <w:b/>
        </w:rPr>
        <w:t xml:space="preserve">Адрес или иное описание местоположения земельного участка (участков), в отношении которого испрашивается публичный сервитут, кадастровые номера земельных участков (при их наличии), в отношении которых испрашивается публичный сервитут.</w:t>
      </w:r>
      <w:r>
        <w:rPr>
          <w:b/>
        </w:rPr>
      </w:r>
      <w:r>
        <w:rPr>
          <w:b/>
        </w:rPr>
      </w:r>
    </w:p>
    <w:p>
      <w:pPr>
        <w:jc w:val="both"/>
        <w:rPr>
          <w:b/>
          <w:sz w:val="18"/>
        </w:rPr>
        <w:sectPr>
          <w:headerReference w:type="default" r:id="rId9"/>
          <w:footnotePr/>
          <w:endnotePr/>
          <w:type w:val="continuous"/>
          <w:pgSz w:w="11906" w:h="16838" w:orient="portrait"/>
          <w:pgMar w:top="1418" w:right="1276" w:bottom="1134" w:left="1559" w:header="708" w:footer="708" w:gutter="0"/>
          <w:cols w:num="1" w:sep="0" w:space="708" w:equalWidth="1"/>
          <w:docGrid w:linePitch="360"/>
          <w:titlePg/>
        </w:sect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tbl>
      <w:tblPr>
        <w:tblW w:w="147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2268"/>
        <w:gridCol w:w="3402"/>
        <w:gridCol w:w="3442"/>
        <w:gridCol w:w="2976"/>
      </w:tblGrid>
      <w:tr>
        <w:tblPrEx/>
        <w:trPr>
          <w:cantSplit/>
          <w:jc w:val="center"/>
          <w:trHeight w:val="20"/>
          <w:tblHeader/>
        </w:trPr>
        <w:tc>
          <w:tcPr>
            <w:shd w:val="clear" w:color="auto" w:fill="auto"/>
            <w:tcW w:w="5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W w:w="2058" w:type="dxa"/>
            <w:vAlign w:val="center"/>
            <w:textDirection w:val="lrTb"/>
            <w:noWrap w:val="false"/>
          </w:tcPr>
          <w:p>
            <w:pPr>
              <w:ind w:left="-113" w:right="-108"/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Муниципальное образование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Кадастровый номер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Категория земель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W w:w="34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Адрес (местоположение)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W w:w="2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Вид разрешенного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использования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86:04:0000001:5565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участка.Ориентир Мыхпайское Восточное месторождение нефти и газа. Почтовый адрес ориентира: Ханты-Мансийский автономный округ - Югра, р-н. Нижневартовский.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участка.Ориентир в пределах городской черты.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62.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газопровод высокого и среднего давления производственной базы «СУ-909»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86:11:0000000:43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Северный промышленный узел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железнодорожный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86:11:0000000:68335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проезды техники и площадки разворота на объекте: «Магистральный продуктопровод ШФЛУ Губкинский ГПЗ - Нижневартовский ГПЗ - Южно-Балыкский ГПЗ - Тобольский НХК (543-669)»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86:11:0000000:68554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 Нижневартовск, северный промышленный узел города.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86:11:0000000:68555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 Нижневартовск, северный промышленный узел города, район станции Нижневартовск-2, на 10-13 км Самотлорской дороги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86:11:0000000:68721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 - 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автомобильную дорогу г. Нижневартовск - г. Радужный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86:11:0000000:69428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в пределах городской черты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86:11:0000000:69432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 - Мансийский автономный округ - Югра, г. Нижневартовск,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86:11:0000000:69437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г.Нижневартовск, в пределах городской черты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86:11:0000000:79154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86:11:0000000:79212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86:11:0000000:79487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Нижневартовск, в пределах городской черты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объекта: «Высокоскоростная линия связи на участке Демьянск-Томск. Второй этап. Участок УС «ЛПДС Нижневартовск»- УС «ЛПДС Самотлор», в том числе магистральная ВОЛС и ответвления от магистральной ВОЛС до УС «ЛПДС Нижневартовск»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86:11:0000000:79774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86:11:0000000:80896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северный промышленный узел города, подъездная дорога к садово-огородническому некоммерческому товариществу "Сибирский огородник"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территория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86:11:0000000:80936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86:11:0000000:81038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86:11:0000000:81063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86:11:0000000:81391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86:11:0000000:82894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д. 36.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подъездной железнодорожный путь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Северная Западный промышленный узел города.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ком-плекс «ПС 110/35/10 кВ Восток с прилегающими ВЛ 110 кВ: Мегион-Восток, Эмтор-Восток-1, Мегион-Западная, Западная-Эмтор»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86:11:0101021:16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шлагбаум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86:11:0301013:8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86:11:0301015:36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86:11:0301016:32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подстанцию 110/35/6 кВ «Нижневартовская»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Мира, д. 9П, строен. 6-11, (панель № 17).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гаражи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86:11:0301017:619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12/П/2/48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86:11:0301017:639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12/П/1/1033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86:11:0301017:671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городской округ Нижневартовск, город Нижневартовск, ул. Северная, земельный участок 12/П/1/73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12/П/2/61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86:11:0301017:702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ул.Северная, земельный участок 12/П/1/88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12/П/1/66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улица Северная, земельный участок 12/П/1/65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12/П/1/104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86:11:0301017:725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12/П/1/80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86:11:0301017:750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12/П/1/70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12/П/1/90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12/П/2/28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86:11:0301017:759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городской округ Нижневартовск, город Нижневартовск, улица Северная, земельный участок 12/П/2/58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западный промышленный узел города панель 16, ул. Кузоваткина, дом 27в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прирельсовый склад горюче-смазочных материалов и подъездной железнодорожный путь №15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86:11:0301026:14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тер Западный промышленный узел, ул Кузоваткина, д 27,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 и подъездные железнодорожные пути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Кузоваткина, д. 29 б/П.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60 А, строен. 4,8,13.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склад №60, склад №63, доксклад №4, железнодорожные тупики В, С, сооружение для погрузочно-разгрузочных работ, объект незавершенного строительства - Бетонный завод (I очередь строительства), наружную сеть электроснабжения 10 кВ (от РУ-10кВ ячейки №№18,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 пс 110/35/10кВ ГПП-3 «Западная» до 2 КТПБ (п) ООО "Керама-Н")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86:11:0301028:60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 АО, г. Нижневартовск, западный промышленный узел города, панель №13.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размещение производственной стоянки автотранспорта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86:11:0301028:61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сооружение - подъездные железнодорожные пути, повышенный железнодорожный путь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районе МЖК.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участок линии электропередачи ВЛ-10 «Западная (ГПП-З) - РПЖ-11, РПЖ-15»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86:11:0301028:90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участка.Ориентир строения 1,3,4,5,6. Почтовый адрес ориентира: Ханты-Мансийский автономный округ - Югра, г. Нижневартовск, тер. Западный промышленный узел, ул. Индустриальная, д.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д. 60А, строен. 9,10.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86:11:0401001:2737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Нижневартовск, СОНТ "Калина", земельный участок 76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Ведение садоводства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86:11:0401001:72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СОТ &amp;apos;Березка&amp;apos; НЗРА.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садовый участок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86:11:0402001:1099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 - Мансийский автономный округ - Югра, г. Нижневартовск, северный промышленный узел города, ул. 4ПС, строение 11.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трассы ВЛ -10 квт, для электроснабжения базы треста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 города.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110/35/10 кВ Восток с прилегающими ВЛ 110 кВ: Мегион-Восток, Эмтор-Восток-1, Мегион-Западная, Западная-Эмтор»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11 км Самотлорской дороги, ул. 4ПС Северный промышленный узел, д. 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86:11:0402001:1295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86:11:0402001:1297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86:11:0402001:1303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86:11:0402001:1501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 города.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строительство газопровода для газоснабжения блочных отопительных котельных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86:11:0402001:1971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Нижневартовск, Северный промышленный узел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специальная деятельность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86:11:0402001:298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задвижка №№ 13-13а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86:11:0402001:307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 АО, г. Нижневартовск, северный промышленный узел города, в районе станции Нижневартовск-2, на 10-13 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 Самотлорской автодороги.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86:11:0402001:329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г. Нижневартовск, северный промышленный узел города, в районе станции Нижневартовск-2, на 10-13 км Самотлорской автодороги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86:11:0402001:84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район ж/д вокзала.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гаражный комплекс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86:11:0701001:17546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 Нижневартовск, СОНТ "Калина", №8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садовый участок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86:11:0701001:5451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СОНТ "Калина", НЗРА.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садовый участок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86:11:0701001:5724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территория СОНТ Калина, земельный участок 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садовый участок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86:11:0902001:299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 Нижневартовск, ул Северный промышленный узел, в районе центрального товарного парка, в пределах горо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производственное сооружение - электросетевой комплекс ВЛ 220 кВ «Сибирская - Мегион - 1, 2»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86:11:0902001:31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в районе станции Нижневартовск-2.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проектирование строительства двух трубопроводов перекачки светлых нефтепродуктов бензина прямогонного и дизельного топлива от УСН на ЦТП Самотлорского месторождения до площадки отгрузки товарной продукции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86:11:0902001:38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 АО, г. Нижневартовск, район центрального товарного парка - ж/дорожная станция Н.Вартовск-II, участки №1, 2, 3, 4, 5, 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сооружение - трубопровод внешнего транспорта гексановой фракции от УСН и ПК ЦТП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Нижневартовский район, г.Нижневартовск, автодорога Нижневартовск-Мегион, Полигон по утилизации и зах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оронению отходов производства и потребления.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Специальная деятельность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86:11:0903001:222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основную нитку нефтепровода «Самотлор-Нижневартовск» (47.5-65 км)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86:11:0903001:267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ВЛ-6 кВ нефтепровода «Самотлор-Нижневартовск» (47,5-65 км)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86:11:0903001:29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автодром по Самотлорской дороге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86:11:0903001:319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автодорога Нижневартовск - Мегион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Специальная деятельность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участка.Ориентир автодорога Нижневартовск-Радужный.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Объект перевода на газотопливную котельную. №3924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86:11:0903001:643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86:11:0903001:644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горорд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86:11:0904001:522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отпаечную ВЛ-6 кВ нефтепровода от ПС «Мегион» до нефтепровода «Самотлор-Нижневартовск»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86:11:0904001:575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район центрального товарного парка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производственное сооружение-электросетевой комплекс подстанции 220/110/10/6 кВ «Мегион» в районе центрального товарного парка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86:11:0904001:79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учебный полигон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86:04:0000001:119657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округ-Югра, 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86:04:0000001:20920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р-н. Нижневартовский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86:04:0000001:20931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р-н. Нижневартовский.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Магистральный продуктопровод «Губкинский ГПЗ-Нижневартовский ГПЗ - Южно-Балыкский ГПЗ - Тобольский НХК» (543 - 619 км, п/к 2/1, ЭХЗ 660 - 867 км), резервная нитка продуктопровода «Нижневартовский ГПЗ-Южно-Балыкский ГПЗ» (на участке 660 км Ореховская НПС)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86:04:0000001:5515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р-н. Нижневартовский.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64а.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электросетевой комплекс «Подстанция ПС-110/35/10 кВ ГПП-3 «Западная» с заходами 110, 35,10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86:11:0000000:42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в городской черте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полосу отвода железной дороги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86:11:0000000:53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участка.Ориентир в пределах городской черты.Участок находится примерно в 1.75 км, по направлению на северо-запад от ориентира. Почтовый адрес ориентира: Ханты-Мансийский автоном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ный округ - Югра, г. Нижневартовск, Участок находится примерно в 1.75 км, по направлению на северо-запад от ориентира.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автомобильную дорогу «г. Нижневартовск-г. Мегион»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86:11:0000000:78826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ул. Северная, дом 1/П, западный промышленный узел города, панель №16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склады, деловое управление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86:11:0000000:80735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ул. Северная, район ж/д станции "Нижневартовск-1"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привокзальную площадь железнодорожного транспорта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86:11:0000000:81066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86:11:0000000:82728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Трубопроводный транспорт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86:11:0000000:83146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район р. Рязанский Еган.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86:11:0000000:87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ул. Северная Западный промышленный узел города.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86:11:0101021:41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ул. Северная, д. 37.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нежилое здание-железнодорожный вокзал (лит. 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86:11:0301014:107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86:11:0301015:19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- Югра АО, г. Нижневартовск, западный промышленный узел города (панель №15) по ул. Индустриальной, дом 38.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два железнодорожных пути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86:11:0301015:33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86:11:0301015:37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86:11:0301016:128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- Югра АО, город Нижневартовск, западный промышленный узел города (панель №16), ул. Индустриальная, д 36, строения 16,17,18,19,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36.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железнодорожные пути №13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36 (панель № 16).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железнодорожный подъездной путь № 3 транспортно-сырьевого цеха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36.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участок железнодорожного подъездного пути № 18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города,, ул. Индустриальная, д. 36,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железнодорожный подъездной путь №20 трансформаторно-сырьевого цеха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86:11:0301016:30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86:11:0301016:31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узел, ул. Индустриальная,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участок линии электропередач ВЛ-10 кВ «ГПП (Западная) - Индустриальная»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г. Нижневартовск, тер. Западный промышленный узел города, ул. Северная, панель №17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гаражи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86:11:0301017:694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ул. Северная, земельный участок 12/П/2/45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86:11:0301017:696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улица Северная, земельный участок 12/П/1/89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улица Северная, земельный участок 12/П/2/35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-Югра, городской округ Нижневартовск, город Нижневартовск, ул. Северная, земельный участок 12/П/1/65а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городской округ Нижневартовск, город Нижневартовск, улица Северная, земельный участок 12/П/2/51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86:11:0301017:732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12/П/1/101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86:11:0301017:740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12/П/2/23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12/П/2/36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86:11:0301017:747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12/П/2/34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12/П/1/75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86:11:0301017:767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ул. Северная, земельный участок 12/П/1/79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округ-Югра, городской округ Нижневартовск, город Нижневартовск, улица Северная, земельный участок 12/П/1/83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86:11:0301017:793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 Северная, земельный участок 12/П/2/52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86:11:0301017:813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Нижневартовск г.о, г Нижневартовск, ул Северная, земельный участок 12/П/1/93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86:11:0301017:817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городской округ Нижневартовск, город Нижневартовск, улица Северная, земельный участок 12/П/1/68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86:11:0301026:203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западный промышленный узел города (панель №16), ул. Индустриальная, дом 36.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участок железнодорожного пути №13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узел,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противопожарный резервуар в составе объекта «Прирельсовый склад горючесмазочных материалов»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86:11:0301026:31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«Подстанция 110/10/10 кВ Индустриальная с прилегающими ВЛ отпайка от ВЛ 110 кВ Восток-Нижневартовская, Мегион-Нижневартовская»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тер. западный промышленный узел города, ул. Индустриальная, д. 36.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железнодорожный подъездной путь № 2 транспортно-сырьевого цеха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86:11:0301026:42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индивидуальные гаражи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округ-Югра, г.Нижневартовск, западный промышленный узел города, (панель №16), ул.Кузоваткина, д.53.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завершения строительства незавершенного строительством объекта «Холодный склад»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передачи в фонд свободных городских земель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железнодорожный путь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железнодорожный путь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86:11:0301026:86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- Югра АО, г. Нижневартовск, в западном промышленном узле города (панель №16).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 фонд свободных городских земель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86:11:0301028:112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 Нижневартовск, ул. Индустриальная, дом 66В, западный промышленный узел города, панель №13.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проезд к существующим земельным участкам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г.Нижневартовск, Западный промышленный узел города (панель №16), ул.Индустриальная, д.60а.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сооружение железнодорожного тупика А (инв. №12481)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86:11:0301028:59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Западный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86:11:0301028:98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 АО, г. Нижневартовск, ул. Интернациональная, дом 5б/П, строение 1, западный промышленный узел города,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панель №16.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нежилое здание «Распределительный пункт РП-1 10/0,4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86:11:0401001:44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автомобильную дорогу с капитальным типом покрытия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86:11:0401001:763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участок ВЛ 110 кВ Центральная - Восток в составе Электросетевого комплекса ПС Нижневартовская с прилегающими ВЛ 110 кВ: Мегион-Нижневартовская, Мегион-Центральная, Центральная-Восток, Восток-Нижневартовкая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4ПС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нежилое здание - гараж-стоянка самосвалов (теплая стоянка на 50 машин)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ул. Северный промышленный узел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86:11:0402001:1189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 города, 12 км Самотлорской дороги, ул. 3ПС, дом 5, стро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ение 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существующие здания: цех подземного ремонта газолифтных скважин и производственно-бытовой корпус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4ПС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существующий Электросетевой комплекс «Трансформаторная подстанция и трасса ВЛ-10 кВт»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задвижка 1с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86:11:0402001:1299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86:11:0402001:1302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86:11:0402001:1306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Северный промышленный узел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«ПС 110/35/6 кВ Нижневартовская с прилегающими ВЛ 110 кВ: Мегион-Нижневартовская, Мегион-Центральная, Восток-Центральная, Восток-Нижневартовская»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86:11:0402001:1420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Нижневартовск, ул. 4ПС, д. 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базу: арочный склад №3 - холодный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159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86:11:0402001:1448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вдоль улицы 4 ПС в северном промышленном узле города Нижневартовска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Размещение автомобильных дорог и пешеходных тротуаров в границах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86:11:0402001:1500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10 км Самотлорской дороги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территория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86:11:0402001:1803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86:11:0402001:1815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Улично-дорожная сеть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86:11:0402001:22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существующую производственную базу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86:11:0402001:299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задвижка № 1в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86:11:0402001:328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86:11:0402001:674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ВЛ-6 кВ нефтепровода «Самотлор-Нижневартовск» (47.5-65 км)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АО, Нижневартовск г, северный промышленный узел города, 12 км Самотлорской дороги.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установку склада для приема, размещения и временного хранения технологического оборудования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86:11:0402001:788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86:11:0402001:792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86:11:0402001:793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86:11:0402001:794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86:11:0402001:796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Нижневартовск, ул. Северный промышленный узел.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строительства объекта «Расширение ОРУ 110 кВ ПС 110 кВ Восток до схемы 110-13 с заходами ВЛ 110 кВ»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86:11:0402001:841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 Нижневартовск, ул 4ПС Северный промышленный узел, 12 км Самотлорской дороги.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обустройство и эксплуатацию производственной автомобильной стоянки открытого типа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86:11:0402001:88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Для иных целей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86:11:0902001:329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Нижневартовск, в северном промышленном узле города, в районе станции Нижневатовск-2, на 10-13 км Самотлорской дороги; Самотлорское месторождение нефти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Недропользование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86:11:0903001:268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в пределах городской черты.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ВЛ-6 кВ нефтепровода «Самотлор-Нижневартовск» (47,5-65 км)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86:11:0903001:645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Ханты-Мансийский автономный округ - Югра, г.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Энергетика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179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86:11:0904001:73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Нижневартовск.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производственную базу и подъездную автодорогу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86:11:0904001:864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Российская Федерация, Ханты-Мансийский автономный округ - Югра, г Нижневартовск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КФХ «Пятачек»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86:11:0000000:79455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адрес ориентира: Ханты-Мансийский автономный округ - Югра, г. Нижневартовск, лесной квартал №27,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защитные леса</w:t>
            </w:r>
            <w:r/>
            <w:r/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городские леса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86:11:0101021:31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адрес ориентира: Ханты-Мансийский автономный округ - Югра, г.Нижневартовск, квартал Северный</w:t>
            </w:r>
            <w:r/>
            <w:r/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электросетевой комплекс ПС 110/10/10 кв «Центральная»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86:11:0402001:105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адрес ориентира: Ханты-Мансийский автономный округ - Югра, г Нижневартовск, ул Северный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промышленный узел</w:t>
            </w:r>
            <w:r/>
            <w:r/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существующее здание склада АРИ с пристроем и прилегающей территорией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86:11:0402001:1141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участка. Почтовый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адрес ориентира: Ханты-Мансийский автономный округ-Югра, г. Нижневартовск, северный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промышленный узел, 12 км. Самотлорской дороги</w:t>
            </w:r>
            <w:r/>
            <w:r/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 товарный склад автозапчастей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86:04:0000001:109999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-Ханты-Мансийский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1" w:tooltip="https://tm.technokad.ru/Spatial/OwnerReport/Object?spatialSetId=35326&amp;spatialObjectId=102374306&amp;spatialUniqueObjectId=78162403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86:04:0000001:110005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Территориальный отдел-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469,470,471,472,473,474,475,476,477,478,479,480,481,482,483,484,485,528,533.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2" w:tooltip="https://tm.technokad.ru/Spatial/OwnerReport/Object?spatialSetId=35326&amp;spatialObjectId=102374341&amp;spatialUniqueObjectId=78162488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86:04:0000001:112239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Излучинское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488, 489, 490, 538,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434, 435, 471, 472, 473, 474, 482, 483, 484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3" w:tooltip="https://tm.technokad.ru/Spatial/OwnerReport/Object?spatialSetId=35326&amp;spatialObjectId=102374335&amp;spatialUniqueObjectId=78162481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86:04:0000001:113568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471, 472, 480, 481, 485.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189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4" w:tooltip="https://tm.technokad.ru/Spatial/OwnerReport/Object?spatialSetId=35326&amp;spatialObjectId=102374274&amp;spatialUniqueObjectId=78162288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86:04:0000001:113595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471,472,480,481,484,485,533.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5" w:tooltip="https://tm.technokad.ru/Spatial/OwnerReport/Object?spatialSetId=35326&amp;spatialObjectId=102374284&amp;spatialUniqueObjectId=78162335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86:04:0000001:114512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434,435,471-474,476-485,533,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Излучинское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486-490,534,535,538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6" w:tooltip="https://tm.technokad.ru/Spatial/OwnerReport/Object?spatialSetId=35326&amp;spatialObjectId=102374349&amp;spatialUniqueObjectId=78162513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86:04:0000001:115343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485, 471, защитные леса, квартал № 485, эксплуатационные леса.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7" w:tooltip="https://tm.technokad.ru/Spatial/OwnerReport/Object?spatialSetId=35326&amp;spatialObjectId=102374296&amp;spatialUniqueObjectId=78162361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86:04:0000001:131513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урочище, кварталы №470, 471, 473, 478, 533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8" w:tooltip="https://tm.technokad.ru/Spatial/OwnerReport/Object?spatialSetId=35326&amp;spatialObjectId=102374290&amp;spatialUniqueObjectId=78162351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86:04:0000001:132948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Ханты–Мансийский автономный округ –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урочище, кварталы №№ 432, 469, 470, 471, 472, 473, 474, 475, 476, 477, 478, 481, 482, 483,484, 485, 533, 479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19" w:tooltip="https://tm.technokad.ru/Spatial/OwnerReport/Object?spatialSetId=35326&amp;spatialObjectId=102374283&amp;spatialUniqueObjectId=78162329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86:04:0000001:24392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, тер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лесхоз, тер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Излучинское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Объект: &amp;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apos;Реконструкция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магистрального газопровода "НГПЗ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Парабель&amp;apos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; на участке 0-34 км путем строительства второй нитки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86:04:0000001:110001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Российская Федерация, Ханты–Мансийский автономный округ –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урочище, кварталы №№ 469, 470, 471, 472, 473, 474, 475, 476, 477, 478, 479, 480, 481, 482, 483, 484, 528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20" w:tooltip="https://tm.technokad.ru/Spatial/OwnerReport/Object?spatialSetId=35326&amp;spatialObjectId=102374356&amp;spatialUniqueObjectId=78162523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86:04:0000001:113593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471,480,484,485.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объектов; заготовка древесины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21" w:tooltip="https://tm.technokad.ru/Spatial/OwnerReport/Object?spatialSetId=35326&amp;spatialObjectId=102374381&amp;spatialUniqueObjectId=78162605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86:04:0000001:120372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округ-Югра,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Излучинское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кварталы №№ 439,534,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 кварталы №№ 230, 469,470,471, 472, 475, 476, 477, 478,479, 480, 481, 482, 483, 485, 528, 533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22" w:tooltip="https://tm.technokad.ru/Spatial/OwnerReport/Object?spatialSetId=35326&amp;spatialObjectId=102374420&amp;spatialUniqueObjectId=78162664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86:04:0000001:132960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урочище, кварталы № 469, 470, 471, 472, 473, 475, 476, 477, 478, 479, 480, 481, 482, 483, 484, 485, 528, 533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199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23" w:tooltip="https://tm.technokad.ru/Spatial/OwnerReport/Object?spatialSetId=35326&amp;spatialObjectId=102374392&amp;spatialUniqueObjectId=78162626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86:04:0000001:133714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участковое лесничество,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урочище, кварталы №469, 470, 471, 472, 473, 475, 476, 477, 478, 479, 480, 481, 482, 483, 484, 485, 528, 533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Строительство, реконструкция, эксплуатация линейных объектов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hyperlink r:id="rId24" w:tooltip="https://tm.technokad.ru/Spatial/OwnerReport/Object?spatialSetId=35326&amp;spatialObjectId=102374438&amp;spatialUniqueObjectId=78162743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  <w:lang w:eastAsia="ru-RU"/>
                </w:rPr>
                <w:t xml:space="preserve">86:04:0000001:36247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р-н, Лесхоз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Нижневартовский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 тер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Земли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ind w:firstLine="200"/>
              <w:spacing w:after="0" w:line="240" w:lineRule="auto"/>
              <w:rPr>
                <w:rFonts w:ascii="Times New Roman" w:hAnsi="Times New Roman" w:eastAsia="Times New Roman" w:cs="Times New Roman"/>
                <w:color w:val="565f69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участок лесного фонда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86:11:0905001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86:11:0904001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86:11:0903001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209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86:11:0301028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86:11:0401001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86:11:0902001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86:11:0101021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86:11:0402001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214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г.Нижневартовск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86:11:0301017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"/>
          <w:tblHeader/>
        </w:trPr>
        <w:tc>
          <w:tcPr>
            <w:shd w:val="clear" w:color="ffffff" w:fill="ffffff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05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Нижневартовский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86:04:0000001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344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</w:tbl>
    <w:p>
      <w:pPr>
        <w:jc w:val="both"/>
        <w:spacing w:after="0" w:line="240" w:lineRule="auto"/>
        <w:rPr>
          <w:b/>
          <w:szCs w:val="28"/>
        </w:rPr>
        <w:sectPr>
          <w:footnotePr/>
          <w:endnotePr/>
          <w:type w:val="nextPage"/>
          <w:pgSz w:w="16838" w:h="11906" w:orient="landscape"/>
          <w:pgMar w:top="1418" w:right="1276" w:bottom="1134" w:left="1559" w:header="709" w:footer="709" w:gutter="0"/>
          <w:cols w:num="1" w:sep="0" w:space="708" w:equalWidth="1"/>
          <w:docGrid w:linePitch="360"/>
        </w:sect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92"/>
        <w:numPr>
          <w:ilvl w:val="0"/>
          <w:numId w:val="2"/>
        </w:numPr>
        <w:ind w:left="0" w:firstLine="709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</w:t>
      </w:r>
      <w:r>
        <w:rPr>
          <w:b/>
          <w:szCs w:val="28"/>
        </w:rPr>
        <w:br/>
        <w:t xml:space="preserve">об учете прав на земельные участки, а также срок подачи указанных заявлений, время приема заинтересованных лиц для ознакомления</w:t>
      </w:r>
      <w:r>
        <w:rPr>
          <w:b/>
          <w:szCs w:val="28"/>
        </w:rPr>
        <w:br/>
        <w:t xml:space="preserve">с поступившим ходатайством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прилагаемой</w:t>
      </w:r>
      <w:r>
        <w:rPr>
          <w:szCs w:val="28"/>
        </w:rPr>
        <w:br/>
        <w:t xml:space="preserve">к нему схемой расположения границ публичного сервитута: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szCs w:val="28"/>
          <w:highlight w:val="none"/>
        </w:rPr>
      </w:r>
      <w:r>
        <w:rPr>
          <w:szCs w:val="28"/>
        </w:rPr>
        <w:t xml:space="preserve">в Департаменте </w:t>
      </w:r>
      <w:r>
        <w:t xml:space="preserve">недропользования и природных ресурсов </w:t>
      </w:r>
      <w:r>
        <w:t xml:space="preserve">Ханты-Мансийского автономного округа – Югры</w:t>
      </w:r>
      <w:r>
        <w:rPr>
          <w:szCs w:val="28"/>
        </w:rPr>
        <w:t xml:space="preserve"> по адресу: г. Ханты-Мансийск, </w:t>
      </w:r>
      <w:r>
        <w:t xml:space="preserve">ул.Дунина-Горкавича, д.1</w:t>
      </w:r>
      <w:r>
        <w:rPr>
          <w:szCs w:val="28"/>
        </w:rPr>
        <w:t xml:space="preserve">, </w:t>
      </w:r>
      <w:r>
        <w:rPr>
          <w:szCs w:val="28"/>
          <w:highlight w:val="none"/>
        </w:rPr>
        <w:t xml:space="preserve">время приема: понедельник – пятница с 09.00 до 17.00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в Департаменте по управлению государственным имуществом Ханты-Мансийского автономного округа – Югры по адресу: г. Ханты-Мансийск, ул. Ленина, дом 54/1, время приема: понедельник, среда, пятница с 14.00 до 17.00.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highlight w:val="none"/>
          <w:shd w:val="clear" w:color="auto" w:fill="ffffff"/>
        </w:rPr>
      </w:pPr>
      <w:r>
        <w:rPr>
          <w:szCs w:val="28"/>
          <w:shd w:val="clear" w:color="auto" w:fill="ffffff"/>
        </w:rPr>
        <w:t xml:space="preserve">Подать заявление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</w:rPr>
        <w:br/>
        <w:t xml:space="preserve">в течение 15 дней с момента публикации настоящего сообщения, </w:t>
      </w:r>
      <w:r>
        <w:rPr>
          <w:szCs w:val="28"/>
          <w:shd w:val="clear" w:color="auto" w:fill="ffffff"/>
        </w:rPr>
        <w:t xml:space="preserve">заинтересованные лица могут: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szCs w:val="28"/>
          <w:highlight w:val="none"/>
          <w:shd w:val="clear" w:color="auto" w:fill="ffffff"/>
        </w:rPr>
      </w:r>
      <w:r>
        <w:rPr>
          <w:szCs w:val="28"/>
        </w:rPr>
        <w:t xml:space="preserve">в Департамент </w:t>
      </w:r>
      <w:r>
        <w:t xml:space="preserve">недропользования и природных ресурсов </w:t>
      </w:r>
      <w:r>
        <w:t xml:space="preserve">Ханты-Мансийского автономного округа – Югры</w:t>
      </w:r>
      <w:r>
        <w:rPr>
          <w:szCs w:val="28"/>
          <w:highlight w:val="none"/>
          <w:shd w:val="clear" w:color="auto" w:fill="ffffff"/>
        </w:rPr>
        <w:t xml:space="preserve"> </w:t>
      </w:r>
      <w:r>
        <w:rPr>
          <w:szCs w:val="28"/>
        </w:rPr>
        <w:t xml:space="preserve">по адресу: г. Ханты-Мансийск, </w:t>
      </w:r>
      <w:r>
        <w:t xml:space="preserve">ул.Дунина-Горкавича, д.1</w:t>
      </w:r>
      <w:r>
        <w:rPr>
          <w:szCs w:val="28"/>
          <w:highlight w:val="none"/>
          <w:shd w:val="clear" w:color="auto" w:fill="ffffff"/>
        </w:rPr>
        <w:t xml:space="preserve">, или на адрес электронной почты </w:t>
      </w:r>
      <w:r>
        <w:rPr>
          <w:szCs w:val="28"/>
          <w:highlight w:val="none"/>
          <w:shd w:val="clear" w:color="auto" w:fill="ffffff"/>
        </w:rPr>
      </w:r>
      <w:hyperlink r:id="rId25" w:tooltip="http://depprirod@admhmao.ru" w:history="1">
        <w:r>
          <w:rPr>
            <w:rStyle w:val="887"/>
            <w:szCs w:val="28"/>
            <w:highlight w:val="none"/>
            <w:shd w:val="clear" w:color="auto" w:fill="ffffff"/>
          </w:rPr>
          <w:t xml:space="preserve">depprirod@admhmao.ru</w:t>
        </w:r>
        <w:r>
          <w:rPr>
            <w:rStyle w:val="887"/>
            <w:szCs w:val="28"/>
            <w:highlight w:val="none"/>
            <w:shd w:val="clear" w:color="auto" w:fill="ffffff"/>
          </w:rPr>
        </w:r>
        <w:r>
          <w:rPr>
            <w:rStyle w:val="887"/>
            <w:szCs w:val="28"/>
            <w:highlight w:val="none"/>
            <w:shd w:val="clear" w:color="auto" w:fill="ffffff"/>
          </w:rPr>
        </w:r>
      </w:hyperlink>
      <w:r>
        <w:rPr>
          <w:szCs w:val="28"/>
          <w:highlight w:val="none"/>
          <w:shd w:val="clear" w:color="auto" w:fill="ffffff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  <w:shd w:val="clear" w:color="auto" w:fill="ffffff"/>
        </w:rPr>
        <w:t xml:space="preserve">в </w:t>
      </w:r>
      <w:r>
        <w:rPr>
          <w:szCs w:val="28"/>
        </w:rPr>
        <w:t xml:space="preserve">Департамент по управлению государственным имуществом Ханты-Мансийского автономного округа – Югры по адресу: г. Ханты-Мансийск, ул. Ленина, дом 54/1, или на адрес электронной почты </w:t>
      </w:r>
      <w:hyperlink r:id="rId26" w:tooltip="mailto:dgs@admhmao.ru" w:history="1">
        <w:r>
          <w:rPr>
            <w:rStyle w:val="887"/>
            <w:szCs w:val="28"/>
            <w:lang w:val="en-US"/>
          </w:rPr>
          <w:t xml:space="preserve">dgs</w:t>
        </w:r>
        <w:r>
          <w:rPr>
            <w:rStyle w:val="887"/>
            <w:szCs w:val="28"/>
          </w:rPr>
          <w:t xml:space="preserve">@</w:t>
        </w:r>
        <w:r>
          <w:rPr>
            <w:rStyle w:val="887"/>
            <w:szCs w:val="28"/>
            <w:lang w:val="en-US"/>
          </w:rPr>
          <w:t xml:space="preserve">admhmao</w:t>
        </w:r>
        <w:r>
          <w:rPr>
            <w:rStyle w:val="887"/>
            <w:szCs w:val="28"/>
          </w:rPr>
          <w:t xml:space="preserve">.</w:t>
        </w:r>
        <w:r>
          <w:rPr>
            <w:rStyle w:val="887"/>
            <w:szCs w:val="28"/>
            <w:lang w:val="en-US"/>
          </w:rPr>
          <w:t xml:space="preserve">ru</w:t>
        </w:r>
      </w:hyperlink>
      <w:r>
        <w:rPr>
          <w:szCs w:val="28"/>
        </w:rPr>
        <w:t xml:space="preserve">;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92"/>
        <w:numPr>
          <w:ilvl w:val="0"/>
          <w:numId w:val="2"/>
        </w:numPr>
        <w:ind w:left="0" w:firstLine="709"/>
        <w:jc w:val="both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  <w:r>
        <w:rPr>
          <w:rFonts w:eastAsia="Times New Roman" w:cs="Times New Roman"/>
          <w:b/>
          <w:szCs w:val="28"/>
          <w:lang w:eastAsia="ru-RU"/>
        </w:rPr>
      </w:r>
      <w:r>
        <w:rPr>
          <w:rFonts w:eastAsia="Times New Roman" w:cs="Times New Roman"/>
          <w:b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szCs w:val="28"/>
        </w:rPr>
        <w:t xml:space="preserve">- </w:t>
      </w:r>
      <w:r>
        <w:rPr>
          <w:szCs w:val="28"/>
        </w:rPr>
      </w:r>
      <w:hyperlink r:id="rId27" w:tooltip="http://depprirod.admhmao.ru/" w:history="1">
        <w:r>
          <w:rPr>
            <w:rStyle w:val="887"/>
            <w:szCs w:val="28"/>
          </w:rPr>
          <w:t xml:space="preserve">http://depprirod.admhmao.ru</w:t>
        </w:r>
        <w:r>
          <w:rPr>
            <w:rStyle w:val="887"/>
            <w:szCs w:val="28"/>
          </w:rPr>
          <w:t xml:space="preserve">/</w:t>
        </w:r>
        <w:r>
          <w:rPr>
            <w:rStyle w:val="887"/>
            <w:szCs w:val="28"/>
          </w:rPr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40" w:lineRule="auto"/>
        <w:rPr>
          <w:rStyle w:val="887"/>
        </w:rPr>
      </w:pPr>
      <w:r>
        <w:rPr>
          <w:szCs w:val="28"/>
        </w:rPr>
        <w:t xml:space="preserve">- </w:t>
      </w:r>
      <w:hyperlink r:id="rId28" w:tooltip="https://depgosim.admhmao.ru/" w:history="1">
        <w:r>
          <w:rPr>
            <w:rStyle w:val="887"/>
            <w:szCs w:val="28"/>
            <w:lang w:val="en-US"/>
          </w:rPr>
          <w:t xml:space="preserve">https</w:t>
        </w:r>
        <w:r>
          <w:rPr>
            <w:rStyle w:val="887"/>
            <w:szCs w:val="28"/>
          </w:rPr>
          <w:t xml:space="preserve">://</w:t>
        </w:r>
        <w:r>
          <w:rPr>
            <w:rStyle w:val="887"/>
            <w:szCs w:val="28"/>
            <w:lang w:val="en-US"/>
          </w:rPr>
          <w:t xml:space="preserve">depgosim</w:t>
        </w:r>
        <w:r>
          <w:rPr>
            <w:rStyle w:val="887"/>
            <w:szCs w:val="28"/>
          </w:rPr>
          <w:t xml:space="preserve">.</w:t>
        </w:r>
        <w:r>
          <w:rPr>
            <w:rStyle w:val="887"/>
            <w:szCs w:val="28"/>
            <w:lang w:val="en-US"/>
          </w:rPr>
          <w:t xml:space="preserve">admhmao</w:t>
        </w:r>
        <w:r>
          <w:rPr>
            <w:rStyle w:val="887"/>
            <w:szCs w:val="28"/>
          </w:rPr>
          <w:t xml:space="preserve">.</w:t>
        </w:r>
        <w:r>
          <w:rPr>
            <w:rStyle w:val="887"/>
            <w:szCs w:val="28"/>
            <w:lang w:val="en-US"/>
          </w:rPr>
          <w:t xml:space="preserve">ru</w:t>
        </w:r>
        <w:r>
          <w:rPr>
            <w:rStyle w:val="887"/>
            <w:szCs w:val="28"/>
          </w:rPr>
          <w:t xml:space="preserve">/</w:t>
        </w:r>
      </w:hyperlink>
      <w:r>
        <w:rPr>
          <w:rStyle w:val="887"/>
          <w:szCs w:val="28"/>
        </w:rPr>
      </w:r>
      <w:r>
        <w:rPr>
          <w:rStyle w:val="887"/>
        </w:rPr>
      </w:r>
    </w:p>
    <w:p>
      <w:pPr>
        <w:ind w:firstLine="709"/>
        <w:jc w:val="both"/>
        <w:spacing w:after="0" w:line="240" w:lineRule="auto"/>
        <w:rPr>
          <w:rStyle w:val="887"/>
          <w:highlight w:val="none"/>
        </w:rPr>
      </w:pPr>
      <w:r>
        <w:rPr>
          <w:szCs w:val="28"/>
        </w:rPr>
        <w:t xml:space="preserve">- </w:t>
      </w:r>
      <w:r>
        <w:rPr>
          <w:highlight w:val="none"/>
        </w:rPr>
      </w:r>
      <w:hyperlink r:id="rId29" w:tooltip="https://www.n-vartovsk.ru/" w:history="1">
        <w:r>
          <w:rPr>
            <w:rStyle w:val="887"/>
            <w:highlight w:val="none"/>
          </w:rPr>
          <w:t xml:space="preserve">https://www.n-vartovsk.ru/</w:t>
        </w:r>
        <w:r>
          <w:rPr>
            <w:rStyle w:val="887"/>
            <w:highlight w:val="none"/>
          </w:rPr>
        </w:r>
        <w:r>
          <w:rPr>
            <w:rStyle w:val="887"/>
            <w:highlight w:val="none"/>
          </w:rPr>
        </w:r>
      </w:hyperlink>
      <w:r>
        <w:rPr>
          <w:rStyle w:val="887"/>
          <w:highlight w:val="none"/>
        </w:rPr>
      </w:r>
      <w:r>
        <w:rPr>
          <w:rStyle w:val="887"/>
          <w:highlight w:val="none"/>
        </w:rPr>
      </w:r>
    </w:p>
    <w:p>
      <w:pPr>
        <w:ind w:firstLine="709"/>
        <w:jc w:val="both"/>
        <w:spacing w:after="0" w:line="240" w:lineRule="auto"/>
        <w:rPr>
          <w:highlight w:val="none"/>
        </w:rPr>
      </w:pPr>
      <w:r>
        <w:t xml:space="preserve">- </w:t>
      </w:r>
      <w:hyperlink r:id="rId30" w:tooltip="https://nvraion.ru/" w:history="1">
        <w:r>
          <w:rPr>
            <w:rStyle w:val="887"/>
          </w:rPr>
          <w:t xml:space="preserve">https://nvraion.ru/</w:t>
        </w:r>
        <w:r>
          <w:rPr>
            <w:rStyle w:val="887"/>
          </w:rPr>
        </w:r>
        <w:r>
          <w:rPr>
            <w:rStyle w:val="887"/>
          </w:rPr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40" w:lineRule="auto"/>
      </w:pPr>
      <w:r/>
      <w:r/>
    </w:p>
    <w:p>
      <w:pPr>
        <w:ind w:firstLine="567"/>
        <w:jc w:val="both"/>
        <w:spacing w:after="0"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left="2127" w:hanging="1701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Приложение: Описание местоположения границ публичного сервитута</w:t>
      </w:r>
      <w:r>
        <w:rPr>
          <w:szCs w:val="28"/>
        </w:rPr>
      </w:r>
      <w:r>
        <w:rPr>
          <w:szCs w:val="28"/>
        </w:rPr>
      </w:r>
    </w:p>
    <w:p>
      <w:pPr>
        <w:ind w:firstLine="567"/>
        <w:jc w:val="both"/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first" r:id="rId10"/>
      <w:footnotePr/>
      <w:endnotePr/>
      <w:type w:val="nextPage"/>
      <w:pgSz w:w="11906" w:h="16838" w:orient="portrait"/>
      <w:pgMar w:top="1418" w:right="1276" w:bottom="1134" w:left="1559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24</w:t>
    </w:r>
    <w:r>
      <w:fldChar w:fldCharType="end"/>
    </w:r>
    <w:r/>
  </w:p>
  <w:p>
    <w:pPr>
      <w:pStyle w:val="88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center"/>
    </w:pPr>
    <w:r>
      <w:t xml:space="preserve">25</w:t>
    </w:r>
    <w:r/>
  </w:p>
  <w:p>
    <w:pPr>
      <w:pStyle w:val="8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1" w:hanging="56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2 Char"/>
    <w:basedOn w:val="720"/>
    <w:link w:val="712"/>
    <w:uiPriority w:val="9"/>
    <w:rPr>
      <w:rFonts w:ascii="Arial" w:hAnsi="Arial" w:eastAsia="Arial" w:cs="Arial"/>
      <w:sz w:val="34"/>
    </w:rPr>
  </w:style>
  <w:style w:type="character" w:styleId="697">
    <w:name w:val="Heading 3 Char"/>
    <w:basedOn w:val="720"/>
    <w:link w:val="713"/>
    <w:uiPriority w:val="9"/>
    <w:rPr>
      <w:rFonts w:ascii="Arial" w:hAnsi="Arial" w:eastAsia="Arial" w:cs="Arial"/>
      <w:sz w:val="30"/>
      <w:szCs w:val="30"/>
    </w:rPr>
  </w:style>
  <w:style w:type="character" w:styleId="698">
    <w:name w:val="Heading 4 Char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699">
    <w:name w:val="Heading 5 Char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00">
    <w:name w:val="Heading 6 Char"/>
    <w:basedOn w:val="72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01">
    <w:name w:val="Heading 7 Char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8 Char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03">
    <w:name w:val="Heading 9 Char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720"/>
    <w:link w:val="732"/>
    <w:uiPriority w:val="10"/>
    <w:rPr>
      <w:sz w:val="48"/>
      <w:szCs w:val="48"/>
    </w:rPr>
  </w:style>
  <w:style w:type="character" w:styleId="705">
    <w:name w:val="Subtitle Char"/>
    <w:basedOn w:val="720"/>
    <w:link w:val="734"/>
    <w:uiPriority w:val="11"/>
    <w:rPr>
      <w:sz w:val="24"/>
      <w:szCs w:val="24"/>
    </w:rPr>
  </w:style>
  <w:style w:type="character" w:styleId="706">
    <w:name w:val="Quote Char"/>
    <w:link w:val="736"/>
    <w:uiPriority w:val="29"/>
    <w:rPr>
      <w:i/>
    </w:rPr>
  </w:style>
  <w:style w:type="character" w:styleId="707">
    <w:name w:val="Intense Quote Char"/>
    <w:link w:val="738"/>
    <w:uiPriority w:val="30"/>
    <w:rPr>
      <w:i/>
    </w:rPr>
  </w:style>
  <w:style w:type="character" w:styleId="708">
    <w:name w:val="Footnote Text Char"/>
    <w:link w:val="869"/>
    <w:uiPriority w:val="99"/>
    <w:rPr>
      <w:sz w:val="18"/>
    </w:rPr>
  </w:style>
  <w:style w:type="character" w:styleId="709">
    <w:name w:val="Endnote Text Char"/>
    <w:link w:val="872"/>
    <w:uiPriority w:val="99"/>
    <w:rPr>
      <w:sz w:val="20"/>
    </w:rPr>
  </w:style>
  <w:style w:type="paragraph" w:styleId="710" w:default="1">
    <w:name w:val="Normal"/>
    <w:qFormat/>
  </w:style>
  <w:style w:type="paragraph" w:styleId="711">
    <w:name w:val="Heading 1"/>
    <w:basedOn w:val="710"/>
    <w:next w:val="710"/>
    <w:link w:val="894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12">
    <w:name w:val="Heading 2"/>
    <w:basedOn w:val="710"/>
    <w:next w:val="710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3">
    <w:name w:val="Heading 3"/>
    <w:basedOn w:val="710"/>
    <w:next w:val="710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Heading 4"/>
    <w:basedOn w:val="710"/>
    <w:next w:val="710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710"/>
    <w:next w:val="710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717">
    <w:name w:val="Heading 7"/>
    <w:basedOn w:val="710"/>
    <w:next w:val="71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718">
    <w:name w:val="Heading 8"/>
    <w:basedOn w:val="710"/>
    <w:next w:val="71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719">
    <w:name w:val="Heading 9"/>
    <w:basedOn w:val="710"/>
    <w:next w:val="71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20"/>
    <w:link w:val="712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20"/>
    <w:link w:val="713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2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Title"/>
    <w:basedOn w:val="710"/>
    <w:next w:val="710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 w:customStyle="1">
    <w:name w:val="Заголовок Знак"/>
    <w:basedOn w:val="720"/>
    <w:link w:val="732"/>
    <w:uiPriority w:val="10"/>
    <w:rPr>
      <w:sz w:val="48"/>
      <w:szCs w:val="48"/>
    </w:rPr>
  </w:style>
  <w:style w:type="paragraph" w:styleId="734">
    <w:name w:val="Subtitle"/>
    <w:basedOn w:val="710"/>
    <w:next w:val="710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 w:customStyle="1">
    <w:name w:val="Подзаголовок Знак"/>
    <w:basedOn w:val="720"/>
    <w:link w:val="734"/>
    <w:uiPriority w:val="11"/>
    <w:rPr>
      <w:sz w:val="24"/>
      <w:szCs w:val="24"/>
    </w:rPr>
  </w:style>
  <w:style w:type="paragraph" w:styleId="736">
    <w:name w:val="Quote"/>
    <w:basedOn w:val="710"/>
    <w:next w:val="710"/>
    <w:link w:val="737"/>
    <w:uiPriority w:val="29"/>
    <w:qFormat/>
    <w:pPr>
      <w:ind w:left="720" w:right="720"/>
    </w:pPr>
    <w:rPr>
      <w:i/>
    </w:rPr>
  </w:style>
  <w:style w:type="character" w:styleId="737" w:customStyle="1">
    <w:name w:val="Цитата 2 Знак"/>
    <w:link w:val="736"/>
    <w:uiPriority w:val="29"/>
    <w:rPr>
      <w:i/>
    </w:rPr>
  </w:style>
  <w:style w:type="paragraph" w:styleId="738">
    <w:name w:val="Intense Quote"/>
    <w:basedOn w:val="710"/>
    <w:next w:val="710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 w:customStyle="1">
    <w:name w:val="Выделенная цитата Знак"/>
    <w:link w:val="738"/>
    <w:uiPriority w:val="30"/>
    <w:rPr>
      <w:i/>
    </w:rPr>
  </w:style>
  <w:style w:type="character" w:styleId="740" w:customStyle="1">
    <w:name w:val="Header Char"/>
    <w:basedOn w:val="720"/>
    <w:uiPriority w:val="99"/>
  </w:style>
  <w:style w:type="character" w:styleId="741" w:customStyle="1">
    <w:name w:val="Footer Char"/>
    <w:basedOn w:val="720"/>
    <w:uiPriority w:val="99"/>
  </w:style>
  <w:style w:type="paragraph" w:styleId="742">
    <w:name w:val="Caption"/>
    <w:basedOn w:val="710"/>
    <w:next w:val="710"/>
    <w:link w:val="74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3" w:customStyle="1">
    <w:name w:val="Caption Char"/>
    <w:uiPriority w:val="99"/>
  </w:style>
  <w:style w:type="table" w:styleId="744" w:customStyle="1">
    <w:name w:val="Table Grid Light"/>
    <w:basedOn w:val="7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5">
    <w:name w:val="Plain Table 1"/>
    <w:basedOn w:val="7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basedOn w:val="72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3" w:customStyle="1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4" w:customStyle="1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5" w:customStyle="1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6" w:customStyle="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7" w:customStyle="1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8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5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6" w:customStyle="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7" w:customStyle="1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8" w:customStyle="1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9" w:customStyle="1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0" w:customStyle="1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1" w:customStyle="1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5" w:customStyle="1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6" w:customStyle="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7" w:customStyle="1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8" w:customStyle="1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9" w:customStyle="1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0" w:customStyle="1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1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 &amp; 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Bordered &amp; 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Bordered &amp; 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Bordered &amp; 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Bordered &amp; 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Bordered &amp; 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Bordered &amp; 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3" w:customStyle="1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4" w:customStyle="1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5" w:customStyle="1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6" w:customStyle="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7" w:customStyle="1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8" w:customStyle="1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9">
    <w:name w:val="footnote text"/>
    <w:basedOn w:val="710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basedOn w:val="720"/>
    <w:uiPriority w:val="99"/>
    <w:unhideWhenUsed/>
    <w:rPr>
      <w:vertAlign w:val="superscript"/>
    </w:rPr>
  </w:style>
  <w:style w:type="paragraph" w:styleId="872">
    <w:name w:val="endnote text"/>
    <w:basedOn w:val="710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basedOn w:val="720"/>
    <w:uiPriority w:val="99"/>
    <w:semiHidden/>
    <w:unhideWhenUsed/>
    <w:rPr>
      <w:vertAlign w:val="superscript"/>
    </w:rPr>
  </w:style>
  <w:style w:type="paragraph" w:styleId="875">
    <w:name w:val="toc 1"/>
    <w:basedOn w:val="710"/>
    <w:next w:val="710"/>
    <w:uiPriority w:val="39"/>
    <w:unhideWhenUsed/>
    <w:pPr>
      <w:spacing w:after="57"/>
    </w:pPr>
  </w:style>
  <w:style w:type="paragraph" w:styleId="876">
    <w:name w:val="toc 2"/>
    <w:basedOn w:val="710"/>
    <w:next w:val="710"/>
    <w:uiPriority w:val="39"/>
    <w:unhideWhenUsed/>
    <w:pPr>
      <w:ind w:left="283"/>
      <w:spacing w:after="57"/>
    </w:pPr>
  </w:style>
  <w:style w:type="paragraph" w:styleId="877">
    <w:name w:val="toc 3"/>
    <w:basedOn w:val="710"/>
    <w:next w:val="710"/>
    <w:uiPriority w:val="39"/>
    <w:unhideWhenUsed/>
    <w:pPr>
      <w:ind w:left="567"/>
      <w:spacing w:after="57"/>
    </w:pPr>
  </w:style>
  <w:style w:type="paragraph" w:styleId="878">
    <w:name w:val="toc 4"/>
    <w:basedOn w:val="710"/>
    <w:next w:val="710"/>
    <w:uiPriority w:val="39"/>
    <w:unhideWhenUsed/>
    <w:pPr>
      <w:ind w:left="850"/>
      <w:spacing w:after="57"/>
    </w:pPr>
  </w:style>
  <w:style w:type="paragraph" w:styleId="879">
    <w:name w:val="toc 5"/>
    <w:basedOn w:val="710"/>
    <w:next w:val="710"/>
    <w:uiPriority w:val="39"/>
    <w:unhideWhenUsed/>
    <w:pPr>
      <w:ind w:left="1134"/>
      <w:spacing w:after="57"/>
    </w:pPr>
  </w:style>
  <w:style w:type="paragraph" w:styleId="880">
    <w:name w:val="toc 6"/>
    <w:basedOn w:val="710"/>
    <w:next w:val="710"/>
    <w:uiPriority w:val="39"/>
    <w:unhideWhenUsed/>
    <w:pPr>
      <w:ind w:left="1417"/>
      <w:spacing w:after="57"/>
    </w:pPr>
  </w:style>
  <w:style w:type="paragraph" w:styleId="881">
    <w:name w:val="toc 7"/>
    <w:basedOn w:val="710"/>
    <w:next w:val="710"/>
    <w:uiPriority w:val="39"/>
    <w:unhideWhenUsed/>
    <w:pPr>
      <w:ind w:left="1701"/>
      <w:spacing w:after="57"/>
    </w:pPr>
  </w:style>
  <w:style w:type="paragraph" w:styleId="882">
    <w:name w:val="toc 8"/>
    <w:basedOn w:val="710"/>
    <w:next w:val="710"/>
    <w:uiPriority w:val="39"/>
    <w:unhideWhenUsed/>
    <w:pPr>
      <w:ind w:left="1984"/>
      <w:spacing w:after="57"/>
    </w:pPr>
  </w:style>
  <w:style w:type="paragraph" w:styleId="883">
    <w:name w:val="toc 9"/>
    <w:basedOn w:val="710"/>
    <w:next w:val="710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710"/>
    <w:next w:val="710"/>
    <w:uiPriority w:val="99"/>
    <w:unhideWhenUsed/>
    <w:pPr>
      <w:spacing w:after="0"/>
    </w:pPr>
  </w:style>
  <w:style w:type="table" w:styleId="886">
    <w:name w:val="Table Grid"/>
    <w:basedOn w:val="7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7">
    <w:name w:val="Hyperlink"/>
    <w:basedOn w:val="720"/>
    <w:uiPriority w:val="99"/>
    <w:unhideWhenUsed/>
    <w:rPr>
      <w:color w:val="0563c1" w:themeColor="hyperlink"/>
      <w:u w:val="single"/>
    </w:rPr>
  </w:style>
  <w:style w:type="paragraph" w:styleId="888">
    <w:name w:val="Header"/>
    <w:basedOn w:val="710"/>
    <w:link w:val="8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Верхний колонтитул Знак"/>
    <w:basedOn w:val="720"/>
    <w:link w:val="888"/>
    <w:uiPriority w:val="99"/>
  </w:style>
  <w:style w:type="paragraph" w:styleId="890">
    <w:name w:val="Footer"/>
    <w:basedOn w:val="710"/>
    <w:link w:val="89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1" w:customStyle="1">
    <w:name w:val="Нижний колонтитул Знак"/>
    <w:basedOn w:val="720"/>
    <w:link w:val="890"/>
    <w:uiPriority w:val="99"/>
  </w:style>
  <w:style w:type="paragraph" w:styleId="892">
    <w:name w:val="List Paragraph"/>
    <w:basedOn w:val="710"/>
    <w:uiPriority w:val="34"/>
    <w:qFormat/>
    <w:pPr>
      <w:contextualSpacing/>
      <w:ind w:left="720"/>
    </w:pPr>
  </w:style>
  <w:style w:type="paragraph" w:styleId="893">
    <w:name w:val="No Spacing"/>
    <w:uiPriority w:val="1"/>
    <w:qFormat/>
    <w:pPr>
      <w:spacing w:after="0" w:line="240" w:lineRule="auto"/>
    </w:pPr>
  </w:style>
  <w:style w:type="character" w:styleId="894" w:customStyle="1">
    <w:name w:val="Заголовок 1 Знак"/>
    <w:basedOn w:val="720"/>
    <w:link w:val="71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95">
    <w:name w:val="FollowedHyperlink"/>
    <w:basedOn w:val="72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tm.technokad.ru/Spatial/OwnerReport/Object?spatialSetId=35326&amp;spatialObjectId=102374306&amp;spatialUniqueObjectId=78162403" TargetMode="External"/><Relationship Id="rId12" Type="http://schemas.openxmlformats.org/officeDocument/2006/relationships/hyperlink" Target="https://tm.technokad.ru/Spatial/OwnerReport/Object?spatialSetId=35326&amp;spatialObjectId=102374341&amp;spatialUniqueObjectId=78162488" TargetMode="External"/><Relationship Id="rId13" Type="http://schemas.openxmlformats.org/officeDocument/2006/relationships/hyperlink" Target="https://tm.technokad.ru/Spatial/OwnerReport/Object?spatialSetId=35326&amp;spatialObjectId=102374335&amp;spatialUniqueObjectId=78162481" TargetMode="External"/><Relationship Id="rId14" Type="http://schemas.openxmlformats.org/officeDocument/2006/relationships/hyperlink" Target="https://tm.technokad.ru/Spatial/OwnerReport/Object?spatialSetId=35326&amp;spatialObjectId=102374274&amp;spatialUniqueObjectId=78162288" TargetMode="External"/><Relationship Id="rId15" Type="http://schemas.openxmlformats.org/officeDocument/2006/relationships/hyperlink" Target="https://tm.technokad.ru/Spatial/OwnerReport/Object?spatialSetId=35326&amp;spatialObjectId=102374284&amp;spatialUniqueObjectId=78162335" TargetMode="External"/><Relationship Id="rId16" Type="http://schemas.openxmlformats.org/officeDocument/2006/relationships/hyperlink" Target="https://tm.technokad.ru/Spatial/OwnerReport/Object?spatialSetId=35326&amp;spatialObjectId=102374349&amp;spatialUniqueObjectId=78162513" TargetMode="External"/><Relationship Id="rId17" Type="http://schemas.openxmlformats.org/officeDocument/2006/relationships/hyperlink" Target="https://tm.technokad.ru/Spatial/OwnerReport/Object?spatialSetId=35326&amp;spatialObjectId=102374296&amp;spatialUniqueObjectId=78162361" TargetMode="External"/><Relationship Id="rId18" Type="http://schemas.openxmlformats.org/officeDocument/2006/relationships/hyperlink" Target="https://tm.technokad.ru/Spatial/OwnerReport/Object?spatialSetId=35326&amp;spatialObjectId=102374290&amp;spatialUniqueObjectId=78162351" TargetMode="External"/><Relationship Id="rId19" Type="http://schemas.openxmlformats.org/officeDocument/2006/relationships/hyperlink" Target="https://tm.technokad.ru/Spatial/OwnerReport/Object?spatialSetId=35326&amp;spatialObjectId=102374283&amp;spatialUniqueObjectId=78162329" TargetMode="External"/><Relationship Id="rId20" Type="http://schemas.openxmlformats.org/officeDocument/2006/relationships/hyperlink" Target="https://tm.technokad.ru/Spatial/OwnerReport/Object?spatialSetId=35326&amp;spatialObjectId=102374356&amp;spatialUniqueObjectId=78162523" TargetMode="External"/><Relationship Id="rId21" Type="http://schemas.openxmlformats.org/officeDocument/2006/relationships/hyperlink" Target="https://tm.technokad.ru/Spatial/OwnerReport/Object?spatialSetId=35326&amp;spatialObjectId=102374381&amp;spatialUniqueObjectId=78162605" TargetMode="External"/><Relationship Id="rId22" Type="http://schemas.openxmlformats.org/officeDocument/2006/relationships/hyperlink" Target="https://tm.technokad.ru/Spatial/OwnerReport/Object?spatialSetId=35326&amp;spatialObjectId=102374420&amp;spatialUniqueObjectId=78162664" TargetMode="External"/><Relationship Id="rId23" Type="http://schemas.openxmlformats.org/officeDocument/2006/relationships/hyperlink" Target="https://tm.technokad.ru/Spatial/OwnerReport/Object?spatialSetId=35326&amp;spatialObjectId=102374392&amp;spatialUniqueObjectId=78162626" TargetMode="External"/><Relationship Id="rId24" Type="http://schemas.openxmlformats.org/officeDocument/2006/relationships/hyperlink" Target="https://tm.technokad.ru/Spatial/OwnerReport/Object?spatialSetId=35326&amp;spatialObjectId=102374438&amp;spatialUniqueObjectId=78162743" TargetMode="External"/><Relationship Id="rId25" Type="http://schemas.openxmlformats.org/officeDocument/2006/relationships/hyperlink" Target="http://depprirod@admhmao.ru" TargetMode="External"/><Relationship Id="rId26" Type="http://schemas.openxmlformats.org/officeDocument/2006/relationships/hyperlink" Target="mailto:dgs@admhmao.ru" TargetMode="External"/><Relationship Id="rId27" Type="http://schemas.openxmlformats.org/officeDocument/2006/relationships/hyperlink" Target="http://depprirod.admhmao.ru/" TargetMode="External"/><Relationship Id="rId28" Type="http://schemas.openxmlformats.org/officeDocument/2006/relationships/hyperlink" Target="https://depgosim.admhmao.ru/" TargetMode="External"/><Relationship Id="rId29" Type="http://schemas.openxmlformats.org/officeDocument/2006/relationships/hyperlink" Target="https://www.n-vartovsk.ru/" TargetMode="External"/><Relationship Id="rId30" Type="http://schemas.openxmlformats.org/officeDocument/2006/relationships/hyperlink" Target="https://nvraion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 Олег Юрьевич</dc:creator>
  <cp:lastModifiedBy>PolyakovDE</cp:lastModifiedBy>
  <cp:revision>21</cp:revision>
  <dcterms:created xsi:type="dcterms:W3CDTF">2023-03-09T13:46:00Z</dcterms:created>
  <dcterms:modified xsi:type="dcterms:W3CDTF">2025-07-24T13:44:36Z</dcterms:modified>
</cp:coreProperties>
</file>