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43D1E" w:rsidRDefault="00567817">
      <w:pPr>
        <w:jc w:val="center"/>
        <w:rPr>
          <w:rFonts w:ascii="Tinos" w:hAnsi="Tinos" w:cs="Tinos"/>
          <w:b/>
          <w:color w:val="000000"/>
          <w:sz w:val="28"/>
          <w:szCs w:val="28"/>
        </w:rPr>
      </w:pPr>
      <w:r>
        <w:rPr>
          <w:rFonts w:ascii="Tinos" w:eastAsia="Tinos" w:hAnsi="Tinos" w:cs="Tinos"/>
          <w:b/>
          <w:color w:val="000000" w:themeColor="text1"/>
          <w:sz w:val="28"/>
          <w:szCs w:val="28"/>
        </w:rPr>
        <w:t>Проект постановления</w:t>
      </w:r>
    </w:p>
    <w:p w:rsidR="00343D1E" w:rsidRDefault="00343D1E">
      <w:pPr>
        <w:jc w:val="both"/>
        <w:rPr>
          <w:rFonts w:ascii="Tinos" w:hAnsi="Tinos" w:cs="Tinos"/>
          <w:color w:val="000000"/>
          <w:sz w:val="28"/>
          <w:szCs w:val="28"/>
        </w:rPr>
      </w:pPr>
    </w:p>
    <w:p w:rsidR="00343D1E" w:rsidRDefault="00343D1E">
      <w:pPr>
        <w:jc w:val="both"/>
        <w:rPr>
          <w:rFonts w:ascii="Tinos" w:hAnsi="Tinos" w:cs="Tinos"/>
          <w:color w:val="000000"/>
          <w:sz w:val="28"/>
          <w:szCs w:val="28"/>
        </w:rPr>
      </w:pPr>
    </w:p>
    <w:p w:rsidR="00343D1E" w:rsidRDefault="00343D1E">
      <w:pPr>
        <w:jc w:val="both"/>
        <w:rPr>
          <w:rFonts w:ascii="Tinos" w:hAnsi="Tinos" w:cs="Tinos"/>
          <w:color w:val="000000"/>
          <w:sz w:val="28"/>
          <w:szCs w:val="28"/>
        </w:rPr>
      </w:pPr>
    </w:p>
    <w:p w:rsidR="00343D1E" w:rsidRDefault="00567817">
      <w:pPr>
        <w:jc w:val="both"/>
        <w:rPr>
          <w:rFonts w:ascii="Tinos" w:hAnsi="Tinos" w:cs="Tinos"/>
          <w:color w:val="000000"/>
          <w:sz w:val="28"/>
          <w:szCs w:val="28"/>
        </w:rPr>
      </w:pPr>
      <w:r>
        <w:rPr>
          <w:rFonts w:ascii="Tinos" w:eastAsia="Tinos" w:hAnsi="Tinos" w:cs="Tinos"/>
          <w:color w:val="000000" w:themeColor="text1"/>
          <w:sz w:val="28"/>
          <w:szCs w:val="28"/>
        </w:rPr>
        <w:t>от _____________ №________</w:t>
      </w:r>
    </w:p>
    <w:p w:rsidR="00343D1E" w:rsidRDefault="00343D1E">
      <w:pPr>
        <w:jc w:val="both"/>
        <w:rPr>
          <w:rFonts w:ascii="Tinos" w:hAnsi="Tinos" w:cs="Tinos"/>
          <w:color w:val="000000"/>
          <w:sz w:val="28"/>
          <w:szCs w:val="28"/>
        </w:rPr>
      </w:pPr>
    </w:p>
    <w:p w:rsidR="00343D1E" w:rsidRDefault="00343D1E">
      <w:pPr>
        <w:jc w:val="both"/>
        <w:rPr>
          <w:rFonts w:ascii="Tinos" w:hAnsi="Tinos" w:cs="Tinos"/>
          <w:color w:val="000000"/>
          <w:sz w:val="28"/>
          <w:szCs w:val="28"/>
        </w:rPr>
      </w:pPr>
    </w:p>
    <w:p w:rsidR="00343D1E" w:rsidRPr="000435F3" w:rsidRDefault="00567817" w:rsidP="00DE36CE">
      <w:pPr>
        <w:pStyle w:val="ConsPlusTitle"/>
        <w:ind w:right="4535"/>
        <w:jc w:val="both"/>
        <w:rPr>
          <w:rFonts w:ascii="Tinos" w:eastAsia="Tinos" w:hAnsi="Tinos" w:cs="Tinos"/>
          <w:b w:val="0"/>
          <w:sz w:val="28"/>
          <w:szCs w:val="28"/>
        </w:rPr>
      </w:pPr>
      <w:r>
        <w:rPr>
          <w:rFonts w:ascii="Tinos" w:eastAsia="Tinos" w:hAnsi="Tinos" w:cs="Tinos"/>
          <w:b w:val="0"/>
          <w:sz w:val="28"/>
          <w:szCs w:val="28"/>
        </w:rPr>
        <w:t xml:space="preserve">О внесении изменений в </w:t>
      </w:r>
      <w:r w:rsidR="000D026E">
        <w:rPr>
          <w:rFonts w:ascii="Tinos" w:eastAsia="Tinos" w:hAnsi="Tinos" w:cs="Tinos"/>
          <w:b w:val="0"/>
          <w:sz w:val="28"/>
          <w:szCs w:val="28"/>
        </w:rPr>
        <w:t>приложение</w:t>
      </w:r>
      <w:r w:rsidR="00DE36CE">
        <w:rPr>
          <w:rFonts w:ascii="Tinos" w:eastAsia="Tinos" w:hAnsi="Tinos" w:cs="Tinos"/>
          <w:b w:val="0"/>
          <w:sz w:val="28"/>
          <w:szCs w:val="28"/>
        </w:rPr>
        <w:t xml:space="preserve">                    </w:t>
      </w:r>
      <w:r w:rsidR="000D026E">
        <w:rPr>
          <w:rFonts w:ascii="Tinos" w:eastAsia="Tinos" w:hAnsi="Tinos" w:cs="Tinos"/>
          <w:b w:val="0"/>
          <w:sz w:val="28"/>
          <w:szCs w:val="28"/>
        </w:rPr>
        <w:t xml:space="preserve">к </w:t>
      </w:r>
      <w:r>
        <w:rPr>
          <w:rFonts w:ascii="Tinos" w:eastAsia="Tinos" w:hAnsi="Tinos" w:cs="Tinos"/>
          <w:b w:val="0"/>
          <w:sz w:val="28"/>
          <w:szCs w:val="28"/>
        </w:rPr>
        <w:t>постановлени</w:t>
      </w:r>
      <w:r w:rsidR="000D026E">
        <w:rPr>
          <w:rFonts w:ascii="Tinos" w:eastAsia="Tinos" w:hAnsi="Tinos" w:cs="Tinos"/>
          <w:b w:val="0"/>
          <w:sz w:val="28"/>
          <w:szCs w:val="28"/>
        </w:rPr>
        <w:t>ю</w:t>
      </w:r>
      <w:r>
        <w:rPr>
          <w:rFonts w:ascii="Tinos" w:eastAsia="Tinos" w:hAnsi="Tinos" w:cs="Tinos"/>
          <w:b w:val="0"/>
          <w:sz w:val="28"/>
          <w:szCs w:val="28"/>
        </w:rPr>
        <w:t xml:space="preserve"> администрации города от </w:t>
      </w:r>
      <w:r w:rsidR="004915F2">
        <w:rPr>
          <w:rFonts w:ascii="Tinos" w:eastAsia="Tinos" w:hAnsi="Tinos" w:cs="Tinos"/>
          <w:b w:val="0"/>
          <w:sz w:val="28"/>
          <w:szCs w:val="28"/>
        </w:rPr>
        <w:t>03.03.2026</w:t>
      </w:r>
      <w:r>
        <w:rPr>
          <w:rFonts w:ascii="Tinos" w:eastAsia="Tinos" w:hAnsi="Tinos" w:cs="Tinos"/>
          <w:b w:val="0"/>
          <w:sz w:val="28"/>
          <w:szCs w:val="28"/>
        </w:rPr>
        <w:t xml:space="preserve"> №</w:t>
      </w:r>
      <w:r w:rsidR="004915F2">
        <w:rPr>
          <w:rFonts w:ascii="Tinos" w:eastAsia="Tinos" w:hAnsi="Tinos" w:cs="Tinos"/>
          <w:b w:val="0"/>
          <w:sz w:val="28"/>
          <w:szCs w:val="28"/>
        </w:rPr>
        <w:t>151</w:t>
      </w:r>
      <w:r>
        <w:rPr>
          <w:rFonts w:ascii="Tinos" w:eastAsia="Tinos" w:hAnsi="Tinos" w:cs="Tinos"/>
          <w:b w:val="0"/>
          <w:sz w:val="28"/>
          <w:szCs w:val="28"/>
        </w:rPr>
        <w:t xml:space="preserve"> </w:t>
      </w:r>
      <w:r w:rsidR="000435F3" w:rsidRPr="000435F3">
        <w:rPr>
          <w:rFonts w:ascii="Tinos" w:eastAsia="Tinos" w:hAnsi="Tinos" w:cs="Tinos"/>
          <w:b w:val="0"/>
          <w:sz w:val="28"/>
          <w:szCs w:val="28"/>
        </w:rPr>
        <w:t>"</w:t>
      </w:r>
      <w:r>
        <w:rPr>
          <w:rFonts w:ascii="Tinos" w:eastAsia="Tinos" w:hAnsi="Tinos" w:cs="Tinos"/>
          <w:b w:val="0"/>
          <w:sz w:val="28"/>
          <w:szCs w:val="28"/>
        </w:rPr>
        <w:t xml:space="preserve">Об утверждении </w:t>
      </w:r>
      <w:r w:rsidR="004915F2">
        <w:rPr>
          <w:rFonts w:ascii="Tinos" w:eastAsia="Tinos" w:hAnsi="Tinos" w:cs="Tinos"/>
          <w:b w:val="0"/>
          <w:sz w:val="28"/>
          <w:szCs w:val="28"/>
        </w:rPr>
        <w:t xml:space="preserve">административного регламента предоставления муниципальной услуги </w:t>
      </w:r>
      <w:r w:rsidR="000435F3" w:rsidRPr="000435F3">
        <w:rPr>
          <w:rFonts w:ascii="Tinos" w:eastAsia="Tinos" w:hAnsi="Tinos" w:cs="Tinos"/>
          <w:b w:val="0"/>
          <w:sz w:val="28"/>
          <w:szCs w:val="28"/>
        </w:rPr>
        <w:t>"</w:t>
      </w:r>
      <w:r w:rsidR="004915F2">
        <w:rPr>
          <w:rFonts w:ascii="Tinos" w:eastAsia="Tinos" w:hAnsi="Tinos" w:cs="Tinos"/>
          <w:b w:val="0"/>
          <w:sz w:val="28"/>
          <w:szCs w:val="28"/>
        </w:rPr>
        <w:t>Осуществление защиты прав потребителей на территории города Нижневартовска</w:t>
      </w:r>
      <w:r w:rsidR="000435F3" w:rsidRPr="000435F3">
        <w:rPr>
          <w:rFonts w:ascii="Tinos" w:eastAsia="Tinos" w:hAnsi="Tinos" w:cs="Tinos"/>
          <w:b w:val="0"/>
          <w:sz w:val="28"/>
          <w:szCs w:val="28"/>
        </w:rPr>
        <w:t>"</w:t>
      </w:r>
    </w:p>
    <w:p w:rsidR="00343D1E" w:rsidRDefault="00343D1E" w:rsidP="00DE36CE">
      <w:pPr>
        <w:tabs>
          <w:tab w:val="left" w:pos="4111"/>
        </w:tabs>
        <w:ind w:right="4535"/>
        <w:jc w:val="both"/>
        <w:rPr>
          <w:rFonts w:ascii="Tinos" w:hAnsi="Tinos" w:cs="Tinos"/>
          <w:color w:val="FF0000"/>
          <w:sz w:val="28"/>
          <w:szCs w:val="28"/>
        </w:rPr>
      </w:pPr>
    </w:p>
    <w:p w:rsidR="00343D1E" w:rsidRDefault="00343D1E">
      <w:pPr>
        <w:jc w:val="both"/>
        <w:rPr>
          <w:rFonts w:ascii="Tinos" w:hAnsi="Tinos" w:cs="Tinos"/>
          <w:color w:val="FF0000"/>
          <w:sz w:val="28"/>
          <w:szCs w:val="28"/>
        </w:rPr>
      </w:pPr>
    </w:p>
    <w:p w:rsidR="00DE36CE" w:rsidRPr="00DE36CE" w:rsidRDefault="00DE36CE" w:rsidP="00317A36">
      <w:pPr>
        <w:ind w:firstLine="708"/>
        <w:jc w:val="both"/>
        <w:rPr>
          <w:rFonts w:ascii="Tinos" w:eastAsia="Tinos" w:hAnsi="Tinos" w:cs="Tinos"/>
          <w:sz w:val="28"/>
          <w:szCs w:val="28"/>
        </w:rPr>
      </w:pPr>
      <w:r w:rsidRPr="00DE36CE">
        <w:rPr>
          <w:rFonts w:ascii="Tinos" w:eastAsia="Tinos" w:hAnsi="Tinos" w:cs="Tinos"/>
          <w:sz w:val="28"/>
          <w:szCs w:val="28"/>
        </w:rPr>
        <w:t xml:space="preserve">В соответствии с Федеральным законом от 27.07.2010 №210-ФЗ </w:t>
      </w:r>
      <w:r>
        <w:rPr>
          <w:rFonts w:ascii="Tinos" w:eastAsia="Tinos" w:hAnsi="Tinos" w:cs="Tinos"/>
          <w:sz w:val="28"/>
          <w:szCs w:val="28"/>
        </w:rPr>
        <w:t xml:space="preserve">                                </w:t>
      </w:r>
      <w:r w:rsidRPr="00DE36CE">
        <w:rPr>
          <w:rFonts w:ascii="Tinos" w:eastAsia="Tinos" w:hAnsi="Tinos" w:cs="Tinos"/>
          <w:sz w:val="28"/>
          <w:szCs w:val="28"/>
        </w:rPr>
        <w:t>"</w:t>
      </w:r>
      <w:r w:rsidRPr="00DE36CE">
        <w:rPr>
          <w:rFonts w:ascii="Tinos" w:eastAsia="Tinos" w:hAnsi="Tinos" w:cs="Tinos"/>
          <w:sz w:val="28"/>
          <w:szCs w:val="28"/>
        </w:rPr>
        <w:t>Об организации предоставления государственных и муниципальных услуг</w:t>
      </w:r>
      <w:r w:rsidRPr="00DE36CE">
        <w:rPr>
          <w:rFonts w:ascii="Tinos" w:eastAsia="Tinos" w:hAnsi="Tinos" w:cs="Tinos"/>
          <w:sz w:val="28"/>
          <w:szCs w:val="28"/>
        </w:rPr>
        <w:t>"</w:t>
      </w:r>
      <w:r w:rsidRPr="00DE36CE">
        <w:rPr>
          <w:rFonts w:ascii="Tinos" w:eastAsia="Tinos" w:hAnsi="Tinos" w:cs="Tinos"/>
          <w:sz w:val="28"/>
          <w:szCs w:val="28"/>
        </w:rPr>
        <w:t xml:space="preserve">, </w:t>
      </w:r>
      <w:r>
        <w:rPr>
          <w:rFonts w:ascii="Tinos" w:eastAsia="Tinos" w:hAnsi="Tinos" w:cs="Tinos"/>
          <w:sz w:val="28"/>
          <w:szCs w:val="28"/>
        </w:rPr>
        <w:t xml:space="preserve">                        </w:t>
      </w:r>
      <w:r w:rsidRPr="00DE36CE">
        <w:rPr>
          <w:rFonts w:ascii="Tinos" w:eastAsia="Tinos" w:hAnsi="Tinos" w:cs="Tinos"/>
          <w:sz w:val="28"/>
          <w:szCs w:val="28"/>
        </w:rPr>
        <w:t>в целях актуализации муниципального правового акта:</w:t>
      </w:r>
    </w:p>
    <w:p w:rsidR="00343D1E" w:rsidRPr="00DE36CE" w:rsidRDefault="00343D1E">
      <w:pPr>
        <w:pStyle w:val="ConsPlusNormal"/>
        <w:ind w:firstLine="709"/>
        <w:jc w:val="both"/>
        <w:rPr>
          <w:rFonts w:ascii="Tinos" w:eastAsia="Tinos" w:hAnsi="Tinos" w:cs="Tinos"/>
          <w:sz w:val="28"/>
          <w:szCs w:val="28"/>
        </w:rPr>
      </w:pPr>
    </w:p>
    <w:p w:rsidR="00343D1E" w:rsidRDefault="00567817">
      <w:pPr>
        <w:pStyle w:val="ConsPlusNormal"/>
        <w:ind w:firstLine="709"/>
        <w:jc w:val="both"/>
        <w:rPr>
          <w:rFonts w:ascii="Tinos" w:eastAsia="Tinos" w:hAnsi="Tinos" w:cs="Tinos"/>
          <w:sz w:val="28"/>
          <w:szCs w:val="28"/>
        </w:rPr>
      </w:pPr>
      <w:r>
        <w:rPr>
          <w:rFonts w:ascii="Tinos" w:eastAsia="Tinos" w:hAnsi="Tinos" w:cs="Tinos"/>
          <w:sz w:val="28"/>
          <w:szCs w:val="28"/>
        </w:rPr>
        <w:t xml:space="preserve">1. Внести в </w:t>
      </w:r>
      <w:r w:rsidR="000D026E">
        <w:rPr>
          <w:rFonts w:ascii="Tinos" w:eastAsia="Tinos" w:hAnsi="Tinos" w:cs="Tinos"/>
          <w:sz w:val="28"/>
          <w:szCs w:val="28"/>
        </w:rPr>
        <w:t xml:space="preserve">приложение к </w:t>
      </w:r>
      <w:r>
        <w:rPr>
          <w:rFonts w:ascii="Tinos" w:eastAsia="Tinos" w:hAnsi="Tinos" w:cs="Tinos"/>
          <w:sz w:val="28"/>
          <w:szCs w:val="28"/>
        </w:rPr>
        <w:t>постановлени</w:t>
      </w:r>
      <w:r w:rsidR="000D026E">
        <w:rPr>
          <w:rFonts w:ascii="Tinos" w:eastAsia="Tinos" w:hAnsi="Tinos" w:cs="Tinos"/>
          <w:sz w:val="28"/>
          <w:szCs w:val="28"/>
        </w:rPr>
        <w:t>ю</w:t>
      </w:r>
      <w:r>
        <w:rPr>
          <w:rFonts w:ascii="Tinos" w:eastAsia="Tinos" w:hAnsi="Tinos" w:cs="Tinos"/>
          <w:sz w:val="28"/>
          <w:szCs w:val="28"/>
        </w:rPr>
        <w:t xml:space="preserve"> администрации города </w:t>
      </w:r>
      <w:r w:rsidR="000D026E">
        <w:rPr>
          <w:rFonts w:ascii="Tinos" w:eastAsia="Tinos" w:hAnsi="Tinos" w:cs="Tinos"/>
          <w:sz w:val="28"/>
          <w:szCs w:val="28"/>
        </w:rPr>
        <w:t>о</w:t>
      </w:r>
      <w:r>
        <w:rPr>
          <w:rFonts w:ascii="Tinos" w:eastAsia="Tinos" w:hAnsi="Tinos" w:cs="Tinos"/>
          <w:sz w:val="28"/>
          <w:szCs w:val="28"/>
        </w:rPr>
        <w:t xml:space="preserve">т </w:t>
      </w:r>
      <w:r w:rsidR="000435F3" w:rsidRPr="000435F3">
        <w:rPr>
          <w:rFonts w:ascii="Tinos" w:eastAsia="Tinos" w:hAnsi="Tinos" w:cs="Tinos"/>
          <w:sz w:val="28"/>
          <w:szCs w:val="28"/>
        </w:rPr>
        <w:t>03.03.2026</w:t>
      </w:r>
      <w:r w:rsidR="000435F3">
        <w:rPr>
          <w:rFonts w:ascii="Tinos" w:eastAsia="Tinos" w:hAnsi="Tinos" w:cs="Tinos"/>
          <w:sz w:val="28"/>
          <w:szCs w:val="28"/>
        </w:rPr>
        <w:t xml:space="preserve"> №</w:t>
      </w:r>
      <w:r w:rsidR="000435F3" w:rsidRPr="000435F3">
        <w:rPr>
          <w:rFonts w:ascii="Tinos" w:eastAsia="Tinos" w:hAnsi="Tinos" w:cs="Tinos"/>
          <w:sz w:val="28"/>
          <w:szCs w:val="28"/>
        </w:rPr>
        <w:t>151</w:t>
      </w:r>
      <w:r w:rsidR="000435F3">
        <w:rPr>
          <w:rFonts w:ascii="Tinos" w:eastAsia="Tinos" w:hAnsi="Tinos" w:cs="Tinos"/>
          <w:sz w:val="28"/>
          <w:szCs w:val="28"/>
        </w:rPr>
        <w:t xml:space="preserve"> </w:t>
      </w:r>
      <w:r w:rsidR="000435F3" w:rsidRPr="000435F3">
        <w:rPr>
          <w:rFonts w:ascii="Tinos" w:eastAsia="Tinos" w:hAnsi="Tinos" w:cs="Tinos"/>
          <w:sz w:val="28"/>
          <w:szCs w:val="28"/>
        </w:rPr>
        <w:t>"</w:t>
      </w:r>
      <w:r w:rsidR="000435F3">
        <w:rPr>
          <w:rFonts w:ascii="Tinos" w:eastAsia="Tinos" w:hAnsi="Tinos" w:cs="Tinos"/>
          <w:sz w:val="28"/>
          <w:szCs w:val="28"/>
        </w:rPr>
        <w:t xml:space="preserve">Об утверждении </w:t>
      </w:r>
      <w:r w:rsidR="000435F3" w:rsidRPr="000435F3">
        <w:rPr>
          <w:rFonts w:ascii="Tinos" w:eastAsia="Tinos" w:hAnsi="Tinos" w:cs="Tinos"/>
          <w:sz w:val="28"/>
          <w:szCs w:val="28"/>
        </w:rPr>
        <w:t>административного регламента предоставления муниципальной услуги "Осуществление защиты прав потребителей на территории города Нижневартовска"</w:t>
      </w:r>
      <w:r w:rsidR="00DE36CE">
        <w:rPr>
          <w:rFonts w:ascii="Tinos" w:eastAsia="Tinos" w:hAnsi="Tinos" w:cs="Tinos"/>
          <w:sz w:val="28"/>
          <w:szCs w:val="28"/>
        </w:rPr>
        <w:t xml:space="preserve"> следующие изменения</w:t>
      </w:r>
      <w:r>
        <w:rPr>
          <w:rFonts w:ascii="Tinos" w:eastAsia="Tinos" w:hAnsi="Tinos" w:cs="Tinos"/>
          <w:sz w:val="28"/>
          <w:szCs w:val="28"/>
        </w:rPr>
        <w:t>:</w:t>
      </w:r>
    </w:p>
    <w:p w:rsidR="00343D1E" w:rsidRDefault="00343D1E">
      <w:pPr>
        <w:pStyle w:val="ConsPlusNormal"/>
        <w:ind w:firstLine="709"/>
        <w:jc w:val="both"/>
        <w:rPr>
          <w:rFonts w:ascii="Tinos" w:eastAsia="Tinos" w:hAnsi="Tinos" w:cs="Tinos"/>
          <w:sz w:val="28"/>
          <w:szCs w:val="28"/>
        </w:rPr>
      </w:pPr>
    </w:p>
    <w:p w:rsidR="00343D1E" w:rsidRDefault="00567817">
      <w:pPr>
        <w:pStyle w:val="a3"/>
        <w:numPr>
          <w:ilvl w:val="1"/>
          <w:numId w:val="3"/>
        </w:numPr>
        <w:pBdr>
          <w:top w:val="none" w:sz="4" w:space="0" w:color="000000"/>
          <w:left w:val="none" w:sz="4" w:space="0" w:color="000000"/>
          <w:bottom w:val="none" w:sz="4" w:space="0" w:color="000000"/>
          <w:right w:val="none" w:sz="4" w:space="0" w:color="000000"/>
        </w:pBdr>
        <w:ind w:left="0" w:firstLine="709"/>
        <w:jc w:val="both"/>
        <w:rPr>
          <w:rFonts w:ascii="Tinos" w:eastAsia="Tinos" w:hAnsi="Tinos" w:cs="Tinos"/>
          <w:sz w:val="28"/>
          <w:szCs w:val="28"/>
        </w:rPr>
      </w:pPr>
      <w:r>
        <w:rPr>
          <w:rFonts w:ascii="Tinos" w:eastAsia="Tinos" w:hAnsi="Tinos" w:cs="Tinos"/>
          <w:sz w:val="28"/>
          <w:szCs w:val="28"/>
        </w:rPr>
        <w:t xml:space="preserve">В </w:t>
      </w:r>
      <w:r w:rsidR="00EC52D1">
        <w:rPr>
          <w:rFonts w:ascii="Tinos" w:eastAsia="Tinos" w:hAnsi="Tinos" w:cs="Tinos"/>
          <w:sz w:val="28"/>
          <w:szCs w:val="28"/>
        </w:rPr>
        <w:t xml:space="preserve">абзаце </w:t>
      </w:r>
      <w:r w:rsidR="000D026E">
        <w:rPr>
          <w:rFonts w:ascii="Tinos" w:eastAsia="Tinos" w:hAnsi="Tinos" w:cs="Tinos"/>
          <w:sz w:val="28"/>
          <w:szCs w:val="28"/>
        </w:rPr>
        <w:t xml:space="preserve">третьем </w:t>
      </w:r>
      <w:r>
        <w:rPr>
          <w:rFonts w:ascii="Tinos" w:eastAsia="Tinos" w:hAnsi="Tinos" w:cs="Tinos"/>
          <w:sz w:val="28"/>
          <w:szCs w:val="28"/>
        </w:rPr>
        <w:t>пункт</w:t>
      </w:r>
      <w:r w:rsidR="00EC52D1">
        <w:rPr>
          <w:rFonts w:ascii="Tinos" w:eastAsia="Tinos" w:hAnsi="Tinos" w:cs="Tinos"/>
          <w:sz w:val="28"/>
          <w:szCs w:val="28"/>
        </w:rPr>
        <w:t>а</w:t>
      </w:r>
      <w:r>
        <w:rPr>
          <w:rFonts w:ascii="Tinos" w:eastAsia="Tinos" w:hAnsi="Tinos" w:cs="Tinos"/>
          <w:sz w:val="28"/>
          <w:szCs w:val="28"/>
        </w:rPr>
        <w:t xml:space="preserve"> 2</w:t>
      </w:r>
      <w:r w:rsidR="000435F3">
        <w:rPr>
          <w:rFonts w:ascii="Tinos" w:eastAsia="Tinos" w:hAnsi="Tinos" w:cs="Tinos"/>
          <w:sz w:val="28"/>
          <w:szCs w:val="28"/>
        </w:rPr>
        <w:t>.2</w:t>
      </w:r>
      <w:r w:rsidR="002878BA">
        <w:rPr>
          <w:rFonts w:ascii="Tinos" w:eastAsia="Tinos" w:hAnsi="Tinos" w:cs="Tinos"/>
          <w:sz w:val="28"/>
          <w:szCs w:val="28"/>
        </w:rPr>
        <w:t xml:space="preserve"> раздела </w:t>
      </w:r>
      <w:r w:rsidR="002878BA">
        <w:rPr>
          <w:rFonts w:ascii="Tinos" w:eastAsia="Tinos" w:hAnsi="Tinos" w:cs="Tinos"/>
          <w:sz w:val="28"/>
          <w:szCs w:val="28"/>
          <w:lang w:val="en-US"/>
        </w:rPr>
        <w:t>II</w:t>
      </w:r>
      <w:r>
        <w:rPr>
          <w:rFonts w:ascii="Tinos" w:eastAsia="Tinos" w:hAnsi="Tinos" w:cs="Tinos"/>
          <w:sz w:val="28"/>
          <w:szCs w:val="28"/>
        </w:rPr>
        <w:t xml:space="preserve"> </w:t>
      </w:r>
      <w:r w:rsidR="0067347D">
        <w:rPr>
          <w:rFonts w:ascii="Tinos" w:eastAsia="Tinos" w:hAnsi="Tinos" w:cs="Tinos"/>
          <w:sz w:val="28"/>
          <w:szCs w:val="28"/>
        </w:rPr>
        <w:t xml:space="preserve">приложения                                     к постановлению </w:t>
      </w:r>
      <w:r>
        <w:rPr>
          <w:rFonts w:ascii="Tinos" w:eastAsia="Tinos" w:hAnsi="Tinos" w:cs="Tinos"/>
          <w:sz w:val="28"/>
          <w:szCs w:val="28"/>
        </w:rPr>
        <w:t>слова "</w:t>
      </w:r>
      <w:r w:rsidR="000435F3" w:rsidRPr="000435F3">
        <w:rPr>
          <w:rFonts w:ascii="Tinos" w:eastAsia="Tinos" w:hAnsi="Tinos" w:cs="Tinos"/>
          <w:sz w:val="28"/>
          <w:szCs w:val="28"/>
        </w:rPr>
        <w:t xml:space="preserve">отдел по защите прав потребителей управления </w:t>
      </w:r>
      <w:r w:rsidR="0067347D">
        <w:rPr>
          <w:rFonts w:ascii="Tinos" w:eastAsia="Tinos" w:hAnsi="Tinos" w:cs="Tinos"/>
          <w:sz w:val="28"/>
          <w:szCs w:val="28"/>
        </w:rPr>
        <w:t xml:space="preserve">                    </w:t>
      </w:r>
      <w:r w:rsidR="000435F3" w:rsidRPr="000435F3">
        <w:rPr>
          <w:rFonts w:ascii="Tinos" w:eastAsia="Tinos" w:hAnsi="Tinos" w:cs="Tinos"/>
          <w:sz w:val="28"/>
          <w:szCs w:val="28"/>
        </w:rPr>
        <w:t>по развитию промышленности и предпринимательства</w:t>
      </w:r>
      <w:r>
        <w:rPr>
          <w:rFonts w:ascii="Tinos" w:eastAsia="Tinos" w:hAnsi="Tinos" w:cs="Tinos"/>
          <w:sz w:val="28"/>
          <w:szCs w:val="28"/>
        </w:rPr>
        <w:t>" заменить словами "</w:t>
      </w:r>
      <w:r w:rsidR="000435F3" w:rsidRPr="000435F3">
        <w:rPr>
          <w:rFonts w:ascii="Tinos" w:eastAsia="Tinos" w:hAnsi="Tinos" w:cs="Tinos"/>
          <w:sz w:val="28"/>
          <w:szCs w:val="28"/>
        </w:rPr>
        <w:t>отдел</w:t>
      </w:r>
      <w:r w:rsidR="000435F3">
        <w:rPr>
          <w:rFonts w:ascii="Tinos" w:eastAsia="Tinos" w:hAnsi="Tinos" w:cs="Tinos"/>
          <w:sz w:val="28"/>
          <w:szCs w:val="28"/>
        </w:rPr>
        <w:t xml:space="preserve"> потребительского рынка</w:t>
      </w:r>
      <w:r w:rsidR="0067347D">
        <w:rPr>
          <w:rFonts w:ascii="Tinos" w:eastAsia="Tinos" w:hAnsi="Tinos" w:cs="Tinos"/>
          <w:sz w:val="28"/>
          <w:szCs w:val="28"/>
        </w:rPr>
        <w:t xml:space="preserve"> </w:t>
      </w:r>
      <w:r w:rsidR="00472AD3">
        <w:rPr>
          <w:rFonts w:ascii="Tinos" w:eastAsia="Tinos" w:hAnsi="Tinos" w:cs="Tinos"/>
          <w:sz w:val="28"/>
          <w:szCs w:val="28"/>
        </w:rPr>
        <w:t xml:space="preserve">и </w:t>
      </w:r>
      <w:r w:rsidR="000435F3">
        <w:rPr>
          <w:rFonts w:ascii="Tinos" w:eastAsia="Tinos" w:hAnsi="Tinos" w:cs="Tinos"/>
          <w:sz w:val="28"/>
          <w:szCs w:val="28"/>
        </w:rPr>
        <w:t>защиты прав</w:t>
      </w:r>
      <w:r w:rsidR="000435F3" w:rsidRPr="000435F3">
        <w:rPr>
          <w:rFonts w:ascii="Tinos" w:eastAsia="Tinos" w:hAnsi="Tinos" w:cs="Tinos"/>
          <w:sz w:val="28"/>
          <w:szCs w:val="28"/>
        </w:rPr>
        <w:t xml:space="preserve"> потребителей управления </w:t>
      </w:r>
      <w:r w:rsidR="00472AD3">
        <w:rPr>
          <w:rFonts w:ascii="Tinos" w:eastAsia="Tinos" w:hAnsi="Tinos" w:cs="Tinos"/>
          <w:sz w:val="28"/>
          <w:szCs w:val="28"/>
        </w:rPr>
        <w:t xml:space="preserve">                    </w:t>
      </w:r>
      <w:r w:rsidR="000435F3" w:rsidRPr="000435F3">
        <w:rPr>
          <w:rFonts w:ascii="Tinos" w:eastAsia="Tinos" w:hAnsi="Tinos" w:cs="Tinos"/>
          <w:sz w:val="28"/>
          <w:szCs w:val="28"/>
        </w:rPr>
        <w:t xml:space="preserve">по развитию и </w:t>
      </w:r>
      <w:r w:rsidR="000435F3">
        <w:rPr>
          <w:rFonts w:ascii="Tinos" w:eastAsia="Tinos" w:hAnsi="Tinos" w:cs="Tinos"/>
          <w:sz w:val="28"/>
          <w:szCs w:val="28"/>
        </w:rPr>
        <w:t xml:space="preserve">поддержке </w:t>
      </w:r>
      <w:r w:rsidR="000435F3" w:rsidRPr="000435F3">
        <w:rPr>
          <w:rFonts w:ascii="Tinos" w:eastAsia="Tinos" w:hAnsi="Tinos" w:cs="Tinos"/>
          <w:sz w:val="28"/>
          <w:szCs w:val="28"/>
        </w:rPr>
        <w:t>предпринимательства</w:t>
      </w:r>
      <w:r>
        <w:rPr>
          <w:rFonts w:ascii="Tinos" w:eastAsia="Tinos" w:hAnsi="Tinos" w:cs="Tinos"/>
          <w:sz w:val="28"/>
          <w:szCs w:val="28"/>
        </w:rPr>
        <w:t>".</w:t>
      </w:r>
    </w:p>
    <w:p w:rsidR="00343D1E" w:rsidRPr="002878BA" w:rsidRDefault="00567817">
      <w:pPr>
        <w:pStyle w:val="a3"/>
        <w:numPr>
          <w:ilvl w:val="1"/>
          <w:numId w:val="3"/>
        </w:numPr>
        <w:pBdr>
          <w:top w:val="none" w:sz="4" w:space="0" w:color="000000"/>
          <w:left w:val="none" w:sz="4" w:space="0" w:color="000000"/>
          <w:bottom w:val="none" w:sz="4" w:space="0" w:color="000000"/>
          <w:right w:val="none" w:sz="4" w:space="0" w:color="000000"/>
        </w:pBdr>
        <w:ind w:left="0" w:firstLine="709"/>
        <w:jc w:val="both"/>
        <w:rPr>
          <w:rFonts w:ascii="Tinos" w:eastAsia="Tinos" w:hAnsi="Tinos" w:cs="Tinos"/>
          <w:sz w:val="28"/>
          <w:szCs w:val="28"/>
        </w:rPr>
      </w:pPr>
      <w:r>
        <w:rPr>
          <w:rFonts w:ascii="Tinos" w:eastAsia="Tinos" w:hAnsi="Tinos" w:cs="Tinos"/>
          <w:sz w:val="28"/>
          <w:szCs w:val="28"/>
        </w:rPr>
        <w:t xml:space="preserve">В </w:t>
      </w:r>
      <w:r w:rsidR="000440D8">
        <w:rPr>
          <w:rFonts w:ascii="Tinos" w:eastAsia="Tinos" w:hAnsi="Tinos" w:cs="Tinos"/>
          <w:sz w:val="28"/>
          <w:szCs w:val="28"/>
        </w:rPr>
        <w:t xml:space="preserve">графе 2 строки 6 приложения 5 </w:t>
      </w:r>
      <w:r w:rsidR="0067347D">
        <w:rPr>
          <w:rFonts w:ascii="Tinos" w:eastAsia="Tinos" w:hAnsi="Tinos" w:cs="Tinos"/>
          <w:sz w:val="28"/>
          <w:szCs w:val="28"/>
        </w:rPr>
        <w:t xml:space="preserve">к административному регламенту предоставления муниципальной услуги </w:t>
      </w:r>
      <w:r w:rsidR="0067347D" w:rsidRPr="0067347D">
        <w:rPr>
          <w:rFonts w:ascii="Tinos" w:eastAsia="Tinos" w:hAnsi="Tinos" w:cs="Tinos"/>
          <w:sz w:val="28"/>
          <w:szCs w:val="28"/>
        </w:rPr>
        <w:t>"Осуществление защиты прав потребителей на территории города Нижневартовска"</w:t>
      </w:r>
      <w:r>
        <w:rPr>
          <w:rFonts w:ascii="Tinos" w:eastAsia="Tinos" w:hAnsi="Tinos" w:cs="Tinos"/>
          <w:sz w:val="28"/>
          <w:szCs w:val="28"/>
        </w:rPr>
        <w:t xml:space="preserve"> </w:t>
      </w:r>
      <w:r w:rsidR="002878BA">
        <w:rPr>
          <w:rFonts w:ascii="Tinos" w:eastAsia="Tinos" w:hAnsi="Tinos" w:cs="Tinos"/>
          <w:sz w:val="28"/>
          <w:szCs w:val="28"/>
        </w:rPr>
        <w:t>слова</w:t>
      </w:r>
      <w:r w:rsidR="0067347D">
        <w:rPr>
          <w:rFonts w:ascii="Tinos" w:eastAsia="Tinos" w:hAnsi="Tinos" w:cs="Tinos"/>
          <w:sz w:val="28"/>
          <w:szCs w:val="28"/>
        </w:rPr>
        <w:t xml:space="preserve"> </w:t>
      </w:r>
      <w:r>
        <w:rPr>
          <w:rFonts w:ascii="Tinos" w:eastAsia="Tinos" w:hAnsi="Tinos" w:cs="Tinos"/>
          <w:sz w:val="28"/>
          <w:szCs w:val="28"/>
        </w:rPr>
        <w:t>"</w:t>
      </w:r>
      <w:r w:rsidR="002878BA" w:rsidRPr="002878BA">
        <w:rPr>
          <w:rFonts w:ascii="Tinos" w:eastAsia="Tinos" w:hAnsi="Tinos" w:cs="Tinos"/>
          <w:sz w:val="28"/>
          <w:szCs w:val="28"/>
        </w:rPr>
        <w:t>в запросе содержится вопрос, на который заявителю неоднократно давались письменные ответы по существу в связи</w:t>
      </w:r>
      <w:r w:rsidR="00DE36CE">
        <w:rPr>
          <w:rFonts w:ascii="Tinos" w:eastAsia="Tinos" w:hAnsi="Tinos" w:cs="Tinos"/>
          <w:sz w:val="28"/>
          <w:szCs w:val="28"/>
        </w:rPr>
        <w:t xml:space="preserve"> </w:t>
      </w:r>
      <w:r w:rsidR="002878BA" w:rsidRPr="002878BA">
        <w:rPr>
          <w:rFonts w:ascii="Tinos" w:eastAsia="Tinos" w:hAnsi="Tinos" w:cs="Tinos"/>
          <w:sz w:val="28"/>
          <w:szCs w:val="28"/>
        </w:rPr>
        <w:t xml:space="preserve">с ранее направляемыми запросами, и при этом </w:t>
      </w:r>
      <w:r w:rsidR="00317A36" w:rsidRPr="00317A36">
        <w:rPr>
          <w:rFonts w:ascii="Tinos" w:eastAsia="Tinos" w:hAnsi="Tinos" w:cs="Tinos"/>
          <w:sz w:val="28"/>
          <w:szCs w:val="28"/>
        </w:rPr>
        <w:t xml:space="preserve">                   </w:t>
      </w:r>
      <w:r w:rsidR="002878BA" w:rsidRPr="002878BA">
        <w:rPr>
          <w:rFonts w:ascii="Tinos" w:eastAsia="Tinos" w:hAnsi="Tinos" w:cs="Tinos"/>
          <w:sz w:val="28"/>
          <w:szCs w:val="28"/>
        </w:rPr>
        <w:t>не приводятся новые доводы или обстоятельства;</w:t>
      </w:r>
      <w:r>
        <w:rPr>
          <w:rFonts w:ascii="Tinos" w:eastAsia="Tinos" w:hAnsi="Tinos" w:cs="Tinos"/>
          <w:sz w:val="28"/>
          <w:szCs w:val="28"/>
        </w:rPr>
        <w:t>"</w:t>
      </w:r>
      <w:r w:rsidR="0067347D" w:rsidRPr="0067347D">
        <w:rPr>
          <w:rFonts w:ascii="Tinos" w:eastAsia="Tinos" w:hAnsi="Tinos" w:cs="Tinos"/>
          <w:sz w:val="28"/>
          <w:szCs w:val="28"/>
        </w:rPr>
        <w:t xml:space="preserve"> </w:t>
      </w:r>
      <w:r w:rsidR="0067347D">
        <w:rPr>
          <w:rFonts w:ascii="Tinos" w:eastAsia="Tinos" w:hAnsi="Tinos" w:cs="Tinos"/>
          <w:sz w:val="28"/>
          <w:szCs w:val="28"/>
        </w:rPr>
        <w:t>исключить</w:t>
      </w:r>
      <w:r w:rsidR="0067347D">
        <w:rPr>
          <w:rFonts w:ascii="Tinos" w:eastAsia="Tinos" w:hAnsi="Tinos" w:cs="Tinos"/>
          <w:sz w:val="28"/>
          <w:szCs w:val="28"/>
        </w:rPr>
        <w:t>.</w:t>
      </w:r>
    </w:p>
    <w:p w:rsidR="00343D1E" w:rsidRPr="0067347D" w:rsidRDefault="00343D1E">
      <w:pPr>
        <w:pStyle w:val="ConsPlusNormal"/>
        <w:ind w:firstLine="709"/>
        <w:jc w:val="both"/>
        <w:rPr>
          <w:rFonts w:ascii="Tinos" w:eastAsia="Tinos" w:hAnsi="Tinos" w:cs="Tinos"/>
          <w:sz w:val="28"/>
          <w:szCs w:val="28"/>
        </w:rPr>
      </w:pPr>
    </w:p>
    <w:p w:rsidR="00343D1E" w:rsidRDefault="00567817">
      <w:pPr>
        <w:ind w:firstLine="709"/>
        <w:jc w:val="both"/>
        <w:rPr>
          <w:rFonts w:ascii="Tinos" w:hAnsi="Tinos" w:cs="Tinos"/>
          <w:sz w:val="28"/>
          <w:szCs w:val="28"/>
        </w:rPr>
      </w:pPr>
      <w:r>
        <w:rPr>
          <w:rFonts w:ascii="Tinos" w:eastAsia="Tinos" w:hAnsi="Tinos" w:cs="Tinos"/>
          <w:sz w:val="28"/>
          <w:szCs w:val="28"/>
        </w:rPr>
        <w:t xml:space="preserve">2. Департаменту общественных коммуникаций и молодежной политики администрации города (В.А. Мыльников) обеспечить официальное опубликование постановления. </w:t>
      </w:r>
    </w:p>
    <w:p w:rsidR="00343D1E" w:rsidRDefault="00343D1E">
      <w:pPr>
        <w:ind w:firstLine="709"/>
        <w:jc w:val="both"/>
        <w:rPr>
          <w:rFonts w:ascii="Tinos" w:hAnsi="Tinos" w:cs="Tinos"/>
          <w:sz w:val="28"/>
          <w:szCs w:val="28"/>
        </w:rPr>
      </w:pPr>
    </w:p>
    <w:p w:rsidR="00343D1E" w:rsidRDefault="00567817">
      <w:pPr>
        <w:ind w:firstLine="709"/>
        <w:jc w:val="both"/>
        <w:rPr>
          <w:rFonts w:ascii="Tinos" w:hAnsi="Tinos" w:cs="Tinos"/>
          <w:sz w:val="28"/>
          <w:szCs w:val="28"/>
        </w:rPr>
      </w:pPr>
      <w:r>
        <w:rPr>
          <w:rFonts w:ascii="Tinos" w:eastAsia="Tinos" w:hAnsi="Tinos" w:cs="Tinos"/>
          <w:sz w:val="28"/>
          <w:szCs w:val="28"/>
        </w:rPr>
        <w:t xml:space="preserve">3. Постановление вступает в силу после его официального опубликования. </w:t>
      </w:r>
    </w:p>
    <w:p w:rsidR="00343D1E" w:rsidRDefault="00343D1E">
      <w:pPr>
        <w:ind w:firstLine="709"/>
        <w:jc w:val="both"/>
        <w:rPr>
          <w:rFonts w:ascii="Tinos" w:hAnsi="Tinos" w:cs="Tinos"/>
          <w:sz w:val="28"/>
          <w:szCs w:val="28"/>
        </w:rPr>
      </w:pPr>
    </w:p>
    <w:p w:rsidR="00343D1E" w:rsidRDefault="00567817">
      <w:pPr>
        <w:ind w:firstLine="709"/>
        <w:jc w:val="both"/>
        <w:rPr>
          <w:rFonts w:ascii="Tinos" w:hAnsi="Tinos" w:cs="Tinos"/>
          <w:sz w:val="28"/>
          <w:szCs w:val="28"/>
        </w:rPr>
      </w:pPr>
      <w:r>
        <w:rPr>
          <w:rFonts w:ascii="Tinos" w:eastAsia="Tinos" w:hAnsi="Tinos" w:cs="Tinos"/>
          <w:sz w:val="28"/>
          <w:szCs w:val="28"/>
        </w:rPr>
        <w:t xml:space="preserve">4. Контроль за выполнением постановления возложить на заместителя главы города по экономике и финансам И.Н. Мурашко. </w:t>
      </w:r>
    </w:p>
    <w:p w:rsidR="00343D1E" w:rsidRDefault="00343D1E">
      <w:pPr>
        <w:pStyle w:val="ConsPlusNormal"/>
        <w:ind w:firstLine="709"/>
        <w:jc w:val="both"/>
        <w:rPr>
          <w:rFonts w:ascii="Tinos" w:hAnsi="Tinos" w:cs="Tinos"/>
          <w:sz w:val="28"/>
          <w:szCs w:val="28"/>
        </w:rPr>
      </w:pPr>
    </w:p>
    <w:p w:rsidR="00343D1E" w:rsidRDefault="00343D1E">
      <w:pPr>
        <w:pStyle w:val="ConsPlusNormal"/>
        <w:jc w:val="both"/>
        <w:rPr>
          <w:rFonts w:ascii="Tinos" w:hAnsi="Tinos" w:cs="Tinos"/>
          <w:sz w:val="28"/>
          <w:szCs w:val="28"/>
        </w:rPr>
      </w:pPr>
    </w:p>
    <w:p w:rsidR="00343D1E" w:rsidRDefault="00567817" w:rsidP="002878BA">
      <w:pPr>
        <w:jc w:val="both"/>
        <w:rPr>
          <w:rFonts w:ascii="Tinos" w:eastAsia="Tinos" w:hAnsi="Tinos" w:cs="Tinos"/>
          <w:sz w:val="28"/>
          <w:szCs w:val="28"/>
        </w:rPr>
      </w:pPr>
      <w:bookmarkStart w:id="0" w:name="_GoBack"/>
      <w:bookmarkEnd w:id="0"/>
      <w:r>
        <w:rPr>
          <w:rFonts w:ascii="Tinos" w:eastAsia="Tinos" w:hAnsi="Tinos" w:cs="Tinos"/>
          <w:color w:val="000000" w:themeColor="text1"/>
          <w:sz w:val="28"/>
          <w:szCs w:val="28"/>
        </w:rPr>
        <w:t>Глава города                                                                                          Д.А. Кощенко</w:t>
      </w:r>
    </w:p>
    <w:sectPr w:rsidR="00343D1E">
      <w:pgSz w:w="11906" w:h="16838"/>
      <w:pgMar w:top="1134" w:right="567" w:bottom="1134" w:left="1701" w:header="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43D1E" w:rsidRDefault="00567817">
      <w:r>
        <w:separator/>
      </w:r>
    </w:p>
  </w:endnote>
  <w:endnote w:type="continuationSeparator" w:id="0">
    <w:p w:rsidR="00343D1E" w:rsidRDefault="005678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Times New Roman"/>
    <w:panose1 w:val="020F0502020204030204"/>
    <w:charset w:val="CC"/>
    <w:family w:val="swiss"/>
    <w:pitch w:val="variable"/>
    <w:sig w:usb0="E4002EFF" w:usb1="C000247B" w:usb2="00000009" w:usb3="00000000" w:csb0="000001FF" w:csb1="00000000"/>
  </w:font>
  <w:font w:name="Arial">
    <w:altName w:val="Arial"/>
    <w:panose1 w:val="020B0604020202020204"/>
    <w:charset w:val="CC"/>
    <w:family w:val="swiss"/>
    <w:pitch w:val="variable"/>
    <w:sig w:usb0="E0002EFF" w:usb1="C000785B" w:usb2="00000009" w:usb3="00000000" w:csb0="000001FF" w:csb1="00000000"/>
  </w:font>
  <w:font w:name="Times New Roman">
    <w:altName w:val="Times New Roman Cyr"/>
    <w:panose1 w:val="02020603050405020304"/>
    <w:charset w:val="CC"/>
    <w:family w:val="roman"/>
    <w:pitch w:val="variable"/>
    <w:sig w:usb0="E0002EFF" w:usb1="C000785B" w:usb2="00000009" w:usb3="00000000" w:csb0="000001FF" w:csb1="00000000"/>
  </w:font>
  <w:font w:name="Courier New">
    <w:altName w:val="Tahoma"/>
    <w:panose1 w:val="02070309020205020404"/>
    <w:charset w:val="CC"/>
    <w:family w:val="modern"/>
    <w:pitch w:val="fixed"/>
    <w:sig w:usb0="E0002EFF" w:usb1="C0007843" w:usb2="00000009" w:usb3="00000000" w:csb0="000001FF" w:csb1="00000000"/>
  </w:font>
  <w:font w:name="Tahoma">
    <w:altName w:val="Times New Roman"/>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Tinos">
    <w:altName w:val="Times New Roman"/>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43D1E" w:rsidRDefault="00567817">
      <w:r>
        <w:separator/>
      </w:r>
    </w:p>
  </w:footnote>
  <w:footnote w:type="continuationSeparator" w:id="0">
    <w:p w:rsidR="00343D1E" w:rsidRDefault="0056781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02A0A77"/>
    <w:multiLevelType w:val="multilevel"/>
    <w:tmpl w:val="206A06F8"/>
    <w:lvl w:ilvl="0">
      <w:start w:val="1"/>
      <w:numFmt w:val="decimal"/>
      <w:lvlText w:val="%1."/>
      <w:lvlJc w:val="left"/>
      <w:pPr>
        <w:ind w:left="1249" w:hanging="360"/>
      </w:pPr>
    </w:lvl>
    <w:lvl w:ilvl="1">
      <w:start w:val="1"/>
      <w:numFmt w:val="decimal"/>
      <w:lvlText w:val="%1.%2."/>
      <w:lvlJc w:val="left"/>
      <w:pPr>
        <w:ind w:left="1969" w:hanging="360"/>
      </w:pPr>
    </w:lvl>
    <w:lvl w:ilvl="2">
      <w:start w:val="1"/>
      <w:numFmt w:val="lowerRoman"/>
      <w:lvlText w:val="%3."/>
      <w:lvlJc w:val="right"/>
      <w:pPr>
        <w:ind w:left="2689" w:hanging="180"/>
      </w:pPr>
    </w:lvl>
    <w:lvl w:ilvl="3">
      <w:start w:val="1"/>
      <w:numFmt w:val="decimal"/>
      <w:lvlText w:val="%4."/>
      <w:lvlJc w:val="left"/>
      <w:pPr>
        <w:ind w:left="3409" w:hanging="360"/>
      </w:pPr>
    </w:lvl>
    <w:lvl w:ilvl="4">
      <w:start w:val="1"/>
      <w:numFmt w:val="lowerLetter"/>
      <w:lvlText w:val="%5."/>
      <w:lvlJc w:val="left"/>
      <w:pPr>
        <w:ind w:left="4129" w:hanging="360"/>
      </w:pPr>
    </w:lvl>
    <w:lvl w:ilvl="5">
      <w:start w:val="1"/>
      <w:numFmt w:val="lowerRoman"/>
      <w:lvlText w:val="%6."/>
      <w:lvlJc w:val="right"/>
      <w:pPr>
        <w:ind w:left="4849" w:hanging="180"/>
      </w:pPr>
    </w:lvl>
    <w:lvl w:ilvl="6">
      <w:start w:val="1"/>
      <w:numFmt w:val="decimal"/>
      <w:lvlText w:val="%7."/>
      <w:lvlJc w:val="left"/>
      <w:pPr>
        <w:ind w:left="5569" w:hanging="360"/>
      </w:pPr>
    </w:lvl>
    <w:lvl w:ilvl="7">
      <w:start w:val="1"/>
      <w:numFmt w:val="lowerLetter"/>
      <w:lvlText w:val="%8."/>
      <w:lvlJc w:val="left"/>
      <w:pPr>
        <w:ind w:left="6289" w:hanging="360"/>
      </w:pPr>
    </w:lvl>
    <w:lvl w:ilvl="8">
      <w:start w:val="1"/>
      <w:numFmt w:val="lowerRoman"/>
      <w:lvlText w:val="%9."/>
      <w:lvlJc w:val="right"/>
      <w:pPr>
        <w:ind w:left="7009" w:hanging="180"/>
      </w:pPr>
    </w:lvl>
  </w:abstractNum>
  <w:abstractNum w:abstractNumId="1" w15:restartNumberingAfterBreak="0">
    <w:nsid w:val="57E529E3"/>
    <w:multiLevelType w:val="multilevel"/>
    <w:tmpl w:val="CC0A13FC"/>
    <w:lvl w:ilvl="0">
      <w:start w:val="1"/>
      <w:numFmt w:val="decimal"/>
      <w:lvlText w:val="%1."/>
      <w:lvlJc w:val="left"/>
      <w:pPr>
        <w:ind w:left="1418" w:hanging="360"/>
      </w:pPr>
    </w:lvl>
    <w:lvl w:ilvl="1">
      <w:start w:val="1"/>
      <w:numFmt w:val="decimal"/>
      <w:lvlText w:val="%1.%2."/>
      <w:lvlJc w:val="left"/>
      <w:pPr>
        <w:ind w:left="2138" w:hanging="360"/>
      </w:pPr>
    </w:lvl>
    <w:lvl w:ilvl="2">
      <w:start w:val="1"/>
      <w:numFmt w:val="lowerRoman"/>
      <w:lvlText w:val="%3."/>
      <w:lvlJc w:val="right"/>
      <w:pPr>
        <w:ind w:left="2858" w:hanging="180"/>
      </w:pPr>
    </w:lvl>
    <w:lvl w:ilvl="3">
      <w:start w:val="1"/>
      <w:numFmt w:val="decimal"/>
      <w:lvlText w:val="%4."/>
      <w:lvlJc w:val="left"/>
      <w:pPr>
        <w:ind w:left="3578" w:hanging="360"/>
      </w:pPr>
    </w:lvl>
    <w:lvl w:ilvl="4">
      <w:start w:val="1"/>
      <w:numFmt w:val="lowerLetter"/>
      <w:lvlText w:val="%5."/>
      <w:lvlJc w:val="left"/>
      <w:pPr>
        <w:ind w:left="4298" w:hanging="360"/>
      </w:pPr>
    </w:lvl>
    <w:lvl w:ilvl="5">
      <w:start w:val="1"/>
      <w:numFmt w:val="lowerRoman"/>
      <w:lvlText w:val="%6."/>
      <w:lvlJc w:val="right"/>
      <w:pPr>
        <w:ind w:left="5018" w:hanging="180"/>
      </w:pPr>
    </w:lvl>
    <w:lvl w:ilvl="6">
      <w:start w:val="1"/>
      <w:numFmt w:val="decimal"/>
      <w:lvlText w:val="%7."/>
      <w:lvlJc w:val="left"/>
      <w:pPr>
        <w:ind w:left="5738" w:hanging="360"/>
      </w:pPr>
    </w:lvl>
    <w:lvl w:ilvl="7">
      <w:start w:val="1"/>
      <w:numFmt w:val="lowerLetter"/>
      <w:lvlText w:val="%8."/>
      <w:lvlJc w:val="left"/>
      <w:pPr>
        <w:ind w:left="6458" w:hanging="360"/>
      </w:pPr>
    </w:lvl>
    <w:lvl w:ilvl="8">
      <w:start w:val="1"/>
      <w:numFmt w:val="lowerRoman"/>
      <w:lvlText w:val="%9."/>
      <w:lvlJc w:val="right"/>
      <w:pPr>
        <w:ind w:left="7178" w:hanging="180"/>
      </w:pPr>
    </w:lvl>
  </w:abstractNum>
  <w:abstractNum w:abstractNumId="2" w15:restartNumberingAfterBreak="0">
    <w:nsid w:val="6C611816"/>
    <w:multiLevelType w:val="multilevel"/>
    <w:tmpl w:val="1206B49C"/>
    <w:lvl w:ilvl="0">
      <w:start w:val="1"/>
      <w:numFmt w:val="decimal"/>
      <w:lvlText w:val="%1."/>
      <w:lvlJc w:val="left"/>
      <w:pPr>
        <w:ind w:left="709" w:hanging="360"/>
      </w:pPr>
    </w:lvl>
    <w:lvl w:ilvl="1">
      <w:start w:val="1"/>
      <w:numFmt w:val="decimal"/>
      <w:lvlText w:val="%1.%2."/>
      <w:lvlJc w:val="left"/>
      <w:pPr>
        <w:ind w:left="1429" w:hanging="360"/>
      </w:pPr>
    </w:lvl>
    <w:lvl w:ilvl="2">
      <w:start w:val="1"/>
      <w:numFmt w:val="lowerRoman"/>
      <w:lvlText w:val="%3."/>
      <w:lvlJc w:val="right"/>
      <w:pPr>
        <w:ind w:left="2149" w:hanging="180"/>
      </w:pPr>
    </w:lvl>
    <w:lvl w:ilvl="3">
      <w:start w:val="1"/>
      <w:numFmt w:val="decimal"/>
      <w:lvlText w:val="%4."/>
      <w:lvlJc w:val="left"/>
      <w:pPr>
        <w:ind w:left="2869" w:hanging="360"/>
      </w:pPr>
    </w:lvl>
    <w:lvl w:ilvl="4">
      <w:start w:val="1"/>
      <w:numFmt w:val="lowerLetter"/>
      <w:lvlText w:val="%5."/>
      <w:lvlJc w:val="left"/>
      <w:pPr>
        <w:ind w:left="3589" w:hanging="360"/>
      </w:pPr>
    </w:lvl>
    <w:lvl w:ilvl="5">
      <w:start w:val="1"/>
      <w:numFmt w:val="lowerRoman"/>
      <w:lvlText w:val="%6."/>
      <w:lvlJc w:val="right"/>
      <w:pPr>
        <w:ind w:left="4309" w:hanging="180"/>
      </w:pPr>
    </w:lvl>
    <w:lvl w:ilvl="6">
      <w:start w:val="1"/>
      <w:numFmt w:val="decimal"/>
      <w:lvlText w:val="%7."/>
      <w:lvlJc w:val="left"/>
      <w:pPr>
        <w:ind w:left="5029" w:hanging="360"/>
      </w:pPr>
    </w:lvl>
    <w:lvl w:ilvl="7">
      <w:start w:val="1"/>
      <w:numFmt w:val="lowerLetter"/>
      <w:lvlText w:val="%8."/>
      <w:lvlJc w:val="left"/>
      <w:pPr>
        <w:ind w:left="5749" w:hanging="360"/>
      </w:pPr>
    </w:lvl>
    <w:lvl w:ilvl="8">
      <w:start w:val="1"/>
      <w:numFmt w:val="lowerRoman"/>
      <w:lvlText w:val="%9."/>
      <w:lvlJc w:val="right"/>
      <w:pPr>
        <w:ind w:left="646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3D1E"/>
    <w:rsid w:val="000435F3"/>
    <w:rsid w:val="000440D8"/>
    <w:rsid w:val="000D026E"/>
    <w:rsid w:val="002878BA"/>
    <w:rsid w:val="00317A36"/>
    <w:rsid w:val="00343D1E"/>
    <w:rsid w:val="00472AD3"/>
    <w:rsid w:val="004915F2"/>
    <w:rsid w:val="00567817"/>
    <w:rsid w:val="0067347D"/>
    <w:rsid w:val="00DE36CE"/>
    <w:rsid w:val="00EC52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23157"/>
  <w15:docId w15:val="{15A1AE8E-A559-4620-B8E0-4C739B6262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pPr>
      <w:keepNext/>
      <w:keepLines/>
      <w:spacing w:before="480" w:after="200"/>
      <w:outlineLvl w:val="0"/>
    </w:pPr>
    <w:rPr>
      <w:rFonts w:ascii="Arial" w:eastAsia="Arial" w:hAnsi="Arial" w:cs="Arial"/>
      <w:sz w:val="40"/>
      <w:szCs w:val="40"/>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rPr>
      <w:sz w:val="24"/>
      <w:szCs w:val="24"/>
    </w:r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link w:val="ac"/>
    <w:uiPriority w:val="35"/>
    <w:semiHidden/>
    <w:unhideWhenUsed/>
    <w:qFormat/>
    <w:pPr>
      <w:spacing w:line="276" w:lineRule="auto"/>
    </w:pPr>
    <w:rPr>
      <w:b/>
      <w:bCs/>
      <w:color w:val="5B9BD5" w:themeColor="accent1"/>
      <w:sz w:val="18"/>
      <w:szCs w:val="18"/>
    </w:rPr>
  </w:style>
  <w:style w:type="character" w:customStyle="1" w:styleId="ac">
    <w:name w:val="Название объекта Знак"/>
    <w:basedOn w:val="a0"/>
    <w:link w:val="ab"/>
    <w:uiPriority w:val="35"/>
    <w:rPr>
      <w:b/>
      <w:bCs/>
      <w:color w:val="5B9BD5" w:themeColor="accent1"/>
      <w:sz w:val="18"/>
      <w:szCs w:val="18"/>
    </w:rPr>
  </w:style>
  <w:style w:type="table" w:styleId="ad">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rPr>
      <w:color w:val="404040"/>
      <w:sz w:val="20"/>
      <w:szCs w:val="2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sz w:val="20"/>
      <w:szCs w:val="20"/>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rPr>
      <w:color w:val="404040"/>
      <w:sz w:val="20"/>
      <w:szCs w:val="2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sz w:val="20"/>
      <w:szCs w:val="2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sz w:val="20"/>
      <w:szCs w:val="2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sz w:val="20"/>
      <w:szCs w:val="20"/>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rPr>
      <w:color w:val="404040"/>
      <w:sz w:val="20"/>
      <w:szCs w:val="2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e">
    <w:name w:val="footnote text"/>
    <w:basedOn w:val="a"/>
    <w:link w:val="af"/>
    <w:uiPriority w:val="99"/>
    <w:semiHidden/>
    <w:unhideWhenUsed/>
    <w:pPr>
      <w:spacing w:after="40"/>
    </w:pPr>
    <w:rPr>
      <w:sz w:val="18"/>
    </w:rPr>
  </w:style>
  <w:style w:type="character" w:customStyle="1" w:styleId="af">
    <w:name w:val="Текст сноски Знак"/>
    <w:link w:val="ae"/>
    <w:uiPriority w:val="99"/>
    <w:rPr>
      <w:sz w:val="18"/>
    </w:rPr>
  </w:style>
  <w:style w:type="character" w:styleId="af0">
    <w:name w:val="footnote reference"/>
    <w:basedOn w:val="a0"/>
    <w:uiPriority w:val="99"/>
    <w:unhideWhenUsed/>
    <w:rPr>
      <w:vertAlign w:val="superscript"/>
    </w:rPr>
  </w:style>
  <w:style w:type="paragraph" w:styleId="af1">
    <w:name w:val="endnote text"/>
    <w:basedOn w:val="a"/>
    <w:link w:val="af2"/>
    <w:uiPriority w:val="99"/>
    <w:semiHidden/>
    <w:unhideWhenUsed/>
    <w:rPr>
      <w:sz w:val="20"/>
    </w:rPr>
  </w:style>
  <w:style w:type="character" w:customStyle="1" w:styleId="af2">
    <w:name w:val="Текст концевой сноски Знак"/>
    <w:link w:val="af1"/>
    <w:uiPriority w:val="99"/>
    <w:rPr>
      <w:sz w:val="20"/>
    </w:rPr>
  </w:style>
  <w:style w:type="character" w:styleId="af3">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4">
    <w:name w:val="TOC Heading"/>
    <w:uiPriority w:val="39"/>
    <w:unhideWhenUsed/>
  </w:style>
  <w:style w:type="paragraph" w:styleId="af5">
    <w:name w:val="table of figures"/>
    <w:basedOn w:val="a"/>
    <w:next w:val="a"/>
    <w:uiPriority w:val="99"/>
    <w:unhideWhenUsed/>
  </w:style>
  <w:style w:type="paragraph" w:customStyle="1" w:styleId="ConsPlusNormal">
    <w:name w:val="ConsPlusNormal"/>
    <w:pPr>
      <w:widowControl w:val="0"/>
    </w:pPr>
    <w:rPr>
      <w:rFonts w:ascii="Times New Roman" w:hAnsi="Times New Roman" w:cs="Times New Roman"/>
      <w:sz w:val="24"/>
    </w:rPr>
  </w:style>
  <w:style w:type="paragraph" w:customStyle="1" w:styleId="ConsPlusNonformat">
    <w:name w:val="ConsPlusNonformat"/>
    <w:pPr>
      <w:widowControl w:val="0"/>
    </w:pPr>
    <w:rPr>
      <w:rFonts w:ascii="Courier New" w:hAnsi="Courier New" w:cs="Courier New"/>
      <w:sz w:val="20"/>
    </w:rPr>
  </w:style>
  <w:style w:type="paragraph" w:customStyle="1" w:styleId="ConsPlusTitle">
    <w:name w:val="ConsPlusTitle"/>
    <w:pPr>
      <w:widowControl w:val="0"/>
    </w:pPr>
    <w:rPr>
      <w:rFonts w:ascii="Arial" w:hAnsi="Arial" w:cs="Arial"/>
      <w:b/>
      <w:sz w:val="24"/>
    </w:rPr>
  </w:style>
  <w:style w:type="paragraph" w:customStyle="1" w:styleId="ConsPlusCell">
    <w:name w:val="ConsPlusCell"/>
    <w:pPr>
      <w:widowControl w:val="0"/>
    </w:pPr>
    <w:rPr>
      <w:rFonts w:ascii="Courier New" w:hAnsi="Courier New" w:cs="Courier New"/>
      <w:sz w:val="20"/>
    </w:rPr>
  </w:style>
  <w:style w:type="paragraph" w:customStyle="1" w:styleId="ConsPlusDocList">
    <w:name w:val="ConsPlusDocList"/>
    <w:pPr>
      <w:widowControl w:val="0"/>
    </w:pPr>
    <w:rPr>
      <w:rFonts w:ascii="Tahoma" w:hAnsi="Tahoma" w:cs="Tahoma"/>
      <w:sz w:val="18"/>
    </w:rPr>
  </w:style>
  <w:style w:type="paragraph" w:customStyle="1" w:styleId="ConsPlusTitlePage">
    <w:name w:val="ConsPlusTitlePage"/>
    <w:pPr>
      <w:widowControl w:val="0"/>
    </w:pPr>
    <w:rPr>
      <w:rFonts w:ascii="Tahoma" w:hAnsi="Tahoma" w:cs="Tahoma"/>
      <w:sz w:val="20"/>
    </w:rPr>
  </w:style>
  <w:style w:type="paragraph" w:customStyle="1" w:styleId="ConsPlusJurTerm">
    <w:name w:val="ConsPlusJurTerm"/>
    <w:pPr>
      <w:widowControl w:val="0"/>
    </w:pPr>
    <w:rPr>
      <w:rFonts w:ascii="Tahoma" w:hAnsi="Tahoma" w:cs="Tahoma"/>
      <w:sz w:val="26"/>
    </w:rPr>
  </w:style>
  <w:style w:type="paragraph" w:customStyle="1" w:styleId="ConsPlusTextList">
    <w:name w:val="ConsPlusTextList"/>
    <w:pPr>
      <w:widowControl w:val="0"/>
    </w:pPr>
    <w:rPr>
      <w:rFonts w:ascii="Times New Roman" w:hAnsi="Times New Roman" w:cs="Times New Roman"/>
      <w:sz w:val="24"/>
    </w:rPr>
  </w:style>
  <w:style w:type="paragraph" w:customStyle="1" w:styleId="ConsPlusTextList0">
    <w:name w:val="ConsPlusTextList"/>
    <w:pPr>
      <w:widowControl w:val="0"/>
    </w:pPr>
    <w:rPr>
      <w:rFonts w:ascii="Times New Roman" w:hAnsi="Times New Roman" w:cs="Times New Roman"/>
      <w:sz w:val="24"/>
    </w:rPr>
  </w:style>
  <w:style w:type="paragraph" w:customStyle="1" w:styleId="ConsPlusNormal0">
    <w:name w:val="ConsPlusNormal"/>
    <w:pPr>
      <w:widowControl w:val="0"/>
    </w:pPr>
    <w:rPr>
      <w:rFonts w:ascii="Times New Roman" w:hAnsi="Times New Roman" w:cs="Times New Roman"/>
      <w:sz w:val="24"/>
    </w:rPr>
  </w:style>
  <w:style w:type="paragraph" w:customStyle="1" w:styleId="ConsPlusNonformat0">
    <w:name w:val="ConsPlusNonformat"/>
    <w:pPr>
      <w:widowControl w:val="0"/>
    </w:pPr>
    <w:rPr>
      <w:rFonts w:ascii="Courier New" w:hAnsi="Courier New" w:cs="Courier New"/>
      <w:sz w:val="20"/>
    </w:rPr>
  </w:style>
  <w:style w:type="paragraph" w:customStyle="1" w:styleId="ConsPlusTitle0">
    <w:name w:val="ConsPlusTitle"/>
    <w:pPr>
      <w:widowControl w:val="0"/>
    </w:pPr>
    <w:rPr>
      <w:rFonts w:ascii="Arial" w:hAnsi="Arial" w:cs="Arial"/>
      <w:b/>
      <w:sz w:val="24"/>
    </w:rPr>
  </w:style>
  <w:style w:type="paragraph" w:customStyle="1" w:styleId="ConsPlusCell0">
    <w:name w:val="ConsPlusCell"/>
    <w:pPr>
      <w:widowControl w:val="0"/>
    </w:pPr>
    <w:rPr>
      <w:rFonts w:ascii="Courier New" w:hAnsi="Courier New" w:cs="Courier New"/>
      <w:sz w:val="20"/>
    </w:rPr>
  </w:style>
  <w:style w:type="paragraph" w:customStyle="1" w:styleId="ConsPlusDocList0">
    <w:name w:val="ConsPlusDocList"/>
    <w:pPr>
      <w:widowControl w:val="0"/>
    </w:pPr>
    <w:rPr>
      <w:rFonts w:ascii="Tahoma" w:hAnsi="Tahoma" w:cs="Tahoma"/>
      <w:sz w:val="18"/>
    </w:rPr>
  </w:style>
  <w:style w:type="paragraph" w:customStyle="1" w:styleId="ConsPlusTitlePage0">
    <w:name w:val="ConsPlusTitlePage"/>
    <w:pPr>
      <w:widowControl w:val="0"/>
    </w:pPr>
    <w:rPr>
      <w:rFonts w:ascii="Tahoma" w:hAnsi="Tahoma" w:cs="Tahoma"/>
      <w:sz w:val="20"/>
    </w:rPr>
  </w:style>
  <w:style w:type="paragraph" w:customStyle="1" w:styleId="ConsPlusJurTerm0">
    <w:name w:val="ConsPlusJurTerm"/>
    <w:pPr>
      <w:widowControl w:val="0"/>
    </w:pPr>
    <w:rPr>
      <w:rFonts w:ascii="Tahoma" w:hAnsi="Tahoma" w:cs="Tahoma"/>
      <w:sz w:val="26"/>
    </w:rPr>
  </w:style>
  <w:style w:type="paragraph" w:customStyle="1" w:styleId="ConsPlusTextList1">
    <w:name w:val="ConsPlusTextList"/>
    <w:pPr>
      <w:widowControl w:val="0"/>
    </w:pPr>
    <w:rPr>
      <w:rFonts w:ascii="Times New Roman" w:hAnsi="Times New Roman" w:cs="Times New Roman"/>
      <w:sz w:val="24"/>
    </w:rPr>
  </w:style>
  <w:style w:type="paragraph" w:customStyle="1" w:styleId="ConsPlusTextList2">
    <w:name w:val="ConsPlusTextList"/>
    <w:pPr>
      <w:widowControl w:val="0"/>
    </w:pPr>
    <w:rPr>
      <w:rFonts w:ascii="Times New Roman" w:hAnsi="Times New Roman" w:cs="Times New Roman"/>
      <w:sz w:val="24"/>
    </w:rPr>
  </w:style>
  <w:style w:type="paragraph" w:styleId="af6">
    <w:name w:val="header"/>
    <w:basedOn w:val="a"/>
    <w:link w:val="af7"/>
    <w:uiPriority w:val="99"/>
    <w:unhideWhenUsed/>
    <w:pPr>
      <w:tabs>
        <w:tab w:val="center" w:pos="4677"/>
        <w:tab w:val="right" w:pos="9355"/>
      </w:tabs>
    </w:pPr>
  </w:style>
  <w:style w:type="character" w:customStyle="1" w:styleId="af7">
    <w:name w:val="Верхний колонтитул Знак"/>
    <w:basedOn w:val="a0"/>
    <w:link w:val="af6"/>
    <w:uiPriority w:val="99"/>
  </w:style>
  <w:style w:type="paragraph" w:styleId="af8">
    <w:name w:val="footer"/>
    <w:basedOn w:val="a"/>
    <w:link w:val="af9"/>
    <w:uiPriority w:val="99"/>
    <w:unhideWhenUsed/>
    <w:pPr>
      <w:tabs>
        <w:tab w:val="center" w:pos="4677"/>
        <w:tab w:val="right" w:pos="9355"/>
      </w:tabs>
    </w:pPr>
  </w:style>
  <w:style w:type="character" w:customStyle="1" w:styleId="af9">
    <w:name w:val="Нижний колонтитул Знак"/>
    <w:basedOn w:val="a0"/>
    <w:link w:val="af8"/>
    <w:uiPriority w:val="99"/>
  </w:style>
  <w:style w:type="paragraph" w:styleId="afa">
    <w:name w:val="Normal (Web)"/>
    <w:basedOn w:val="a"/>
    <w:uiPriority w:val="99"/>
    <w:unhideWhenUsed/>
    <w:pPr>
      <w:spacing w:before="100" w:beforeAutospacing="1" w:after="100" w:afterAutospacing="1"/>
    </w:pPr>
    <w:rPr>
      <w:rFonts w:ascii="Times New Roman" w:eastAsia="Times New Roman" w:hAnsi="Times New Roman" w:cs="Times New Roman"/>
      <w:sz w:val="24"/>
      <w:szCs w:val="24"/>
    </w:rPr>
  </w:style>
  <w:style w:type="paragraph" w:styleId="afb">
    <w:name w:val="Balloon Text"/>
    <w:basedOn w:val="a"/>
    <w:link w:val="afc"/>
    <w:uiPriority w:val="99"/>
    <w:semiHidden/>
    <w:unhideWhenUsed/>
    <w:rPr>
      <w:rFonts w:ascii="Segoe UI" w:hAnsi="Segoe UI" w:cs="Segoe UI"/>
      <w:sz w:val="18"/>
      <w:szCs w:val="18"/>
    </w:rPr>
  </w:style>
  <w:style w:type="character" w:customStyle="1" w:styleId="afc">
    <w:name w:val="Текст выноски Знак"/>
    <w:basedOn w:val="a0"/>
    <w:link w:val="afb"/>
    <w:uiPriority w:val="99"/>
    <w:semiHidden/>
    <w:rPr>
      <w:rFonts w:ascii="Segoe UI" w:hAnsi="Segoe UI" w:cs="Segoe UI"/>
      <w:sz w:val="18"/>
      <w:szCs w:val="18"/>
    </w:rPr>
  </w:style>
  <w:style w:type="character" w:styleId="afd">
    <w:name w:val="Hyperlink"/>
    <w:basedOn w:val="a0"/>
    <w:uiPriority w:val="99"/>
    <w:unhideWhenUse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3211364">
      <w:bodyDiv w:val="1"/>
      <w:marLeft w:val="0"/>
      <w:marRight w:val="0"/>
      <w:marTop w:val="0"/>
      <w:marBottom w:val="0"/>
      <w:divBdr>
        <w:top w:val="none" w:sz="0" w:space="0" w:color="auto"/>
        <w:left w:val="none" w:sz="0" w:space="0" w:color="auto"/>
        <w:bottom w:val="none" w:sz="0" w:space="0" w:color="auto"/>
        <w:right w:val="none" w:sz="0" w:space="0" w:color="auto"/>
      </w:divBdr>
      <w:divsChild>
        <w:div w:id="21131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309</Words>
  <Characters>1766</Characters>
  <Application>Microsoft Office Word</Application>
  <DocSecurity>0</DocSecurity>
  <Lines>14</Lines>
  <Paragraphs>4</Paragraphs>
  <ScaleCrop>false</ScaleCrop>
  <HeadingPairs>
    <vt:vector size="2" baseType="variant">
      <vt:variant>
        <vt:lpstr>Название</vt:lpstr>
      </vt:variant>
      <vt:variant>
        <vt:i4>1</vt:i4>
      </vt:variant>
    </vt:vector>
  </HeadingPairs>
  <TitlesOfParts>
    <vt:vector size="1" baseType="lpstr">
      <vt:lpstr>Постановление Администрации города Нижневартовска от 20.05.2016 N 693
"Об утверждении Положения о размещении нестационарных торговых объектов на территории города Нижневартовска"
(вместе с "Порядком проведения аукционов на право заключения договоров на ра</vt:lpstr>
    </vt:vector>
  </TitlesOfParts>
  <Company>КонсультантПлюс Версия 4024.00.50</Company>
  <LinksUpToDate>false</LinksUpToDate>
  <CharactersWithSpaces>2071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Администрации города Нижневартовска от 20.05.2016 N 693
"Об утверждении Положения о размещении нестационарных торговых объектов на территории города Нижневартовска"
(вместе с "Порядком проведения аукционов на право заключения договоров на размещение нестационарных торговых объектов на территории города Нижневартовска", "Порядком размещения нестационарных торговых объектов на территории города Нижневартовска без проведения аукционов", "Порядком размещения нестационарных торговых объектов на тер</dc:title>
  <dc:creator>Глазырина Анна Александровна</dc:creator>
  <cp:lastModifiedBy>Авилов Михаил Александрович</cp:lastModifiedBy>
  <cp:revision>2</cp:revision>
  <cp:lastPrinted>2026-08-31T12:12:00Z</cp:lastPrinted>
  <dcterms:created xsi:type="dcterms:W3CDTF">2026-08-31T12:19:00Z</dcterms:created>
  <dcterms:modified xsi:type="dcterms:W3CDTF">2026-08-31T12:19:00Z</dcterms:modified>
</cp:coreProperties>
</file>