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 О РЕЗУЛЬТАТАХ КОНТРОЛЯ ОБ ИСПОЛНЕНИИ КОНЦЕССИОНЕРОМ МЕРОПРИЯТИЙ, ПРЕДУСМОТРЕННЫХ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КОНЦЕССИОННЫМ </w:t>
      </w:r>
      <w:r>
        <w:rPr>
          <w:rFonts w:ascii="Times New Roman" w:hAnsi="Times New Roman" w:cs="Times New Roman"/>
          <w:b/>
          <w:sz w:val="24"/>
          <w:szCs w:val="24"/>
        </w:rPr>
        <w:t xml:space="preserve">СОГЛАШЕНИЕМ 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6521"/>
        </w:tabs>
        <w:spacing w:after="0" w:line="240" w:lineRule="auto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/>
          <w:sz w:val="28"/>
          <w:szCs w:val="28"/>
          <w:u w:val="single"/>
          <w:lang w:eastAsia="en-GB"/>
        </w:rPr>
        <w:t xml:space="preserve">г. Нижневартовск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u w:val="single"/>
          <w:lang w:eastAsia="ru-RU"/>
        </w:rPr>
        <w:t xml:space="preserve">15 мая 2026</w:t>
      </w:r>
      <w:r>
        <w:rPr>
          <w:rFonts w:ascii="Times New Roman" w:hAnsi="Times New Roman" w:eastAsia="Times New Roman"/>
          <w:sz w:val="28"/>
          <w:szCs w:val="28"/>
          <w:u w:val="single"/>
          <w:lang w:eastAsia="ru-RU"/>
        </w:rPr>
        <w:t xml:space="preserve"> г.</w:t>
      </w:r>
    </w:p>
    <w:p>
      <w:pPr>
        <w:tabs>
          <w:tab w:val="left" w:pos="6521"/>
        </w:tabs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tabs>
          <w:tab w:val="left" w:pos="6521"/>
        </w:tabs>
        <w:spacing w:after="0" w:line="240" w:lineRule="auto"/>
        <w:rPr>
          <w:rFonts w:ascii="Times New Roman" w:hAnsi="Times New Roman" w:eastAsia="Times New Roman"/>
          <w:i/>
          <w:sz w:val="28"/>
          <w:szCs w:val="28"/>
          <w:lang w:eastAsia="ru-RU"/>
        </w:rPr>
      </w:pP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Концедентом в соответствии со статьей 9 Федерального закона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от 21.07.2005 №115-ФЗ «О концессионных соглашениях», концессионным соглашением в отношении объектов теплоснабжения, централизованных систем горячего водоснабжения, отдельных объектов таких систем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от </w:t>
      </w:r>
      <w:r>
        <w:rPr>
          <w:iCs/>
          <w:sz w:val="28"/>
          <w:szCs w:val="28"/>
        </w:rPr>
        <w:t xml:space="preserve">18.09.2019</w:t>
      </w:r>
      <w:r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3</w:t>
      </w:r>
      <w:r>
        <w:rPr>
          <w:iCs/>
          <w:sz w:val="28"/>
          <w:szCs w:val="28"/>
        </w:rPr>
        <w:t xml:space="preserve"> (далее — Концессионное соглашение), </w:t>
      </w:r>
      <w:r>
        <w:rPr>
          <w:iCs/>
          <w:sz w:val="28"/>
          <w:szCs w:val="28"/>
        </w:rPr>
        <w:t xml:space="preserve">постановлением</w:t>
      </w:r>
      <w:r>
        <w:rPr>
          <w:iCs/>
          <w:sz w:val="28"/>
          <w:szCs w:val="28"/>
        </w:rPr>
        <w:t xml:space="preserve"> администрации города</w:t>
      </w:r>
      <w:r>
        <w:rPr>
          <w:iCs/>
          <w:sz w:val="28"/>
          <w:szCs w:val="28"/>
        </w:rPr>
        <w:t xml:space="preserve"> Нижневартовска от 12.12.2024</w:t>
      </w:r>
      <w:r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1135 </w:t>
      </w:r>
      <w:r>
        <w:rPr>
          <w:iCs/>
          <w:sz w:val="28"/>
          <w:szCs w:val="28"/>
        </w:rPr>
        <w:br/>
        <w:t xml:space="preserve">«Об осуществлении отдельных прав и обязанностей концедента структурными подразделениями администрации города при заключении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и исполнении концессионных соглашений»</w:t>
      </w:r>
      <w:r>
        <w:rPr>
          <w:iCs/>
          <w:sz w:val="28"/>
          <w:szCs w:val="28"/>
        </w:rPr>
        <w:t xml:space="preserve">:</w:t>
      </w:r>
    </w:p>
    <w:p>
      <w:pPr>
        <w:pStyle w:val="afe"/>
        <w:spacing w:beforeAutospacing="0" w:after="0" w:afterAutospacing="0"/>
        <w:ind w:firstLine="708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1. Проведена проверка исполнения Концессионером условий Концессионного соглашения и использования муниципального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имущества – Объекта соглашения в срок с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  <w:u w:val="single"/>
        </w:rPr>
        <w:t xml:space="preserve">0</w:t>
      </w:r>
      <w:r>
        <w:rPr>
          <w:b/>
          <w:iCs/>
          <w:sz w:val="28"/>
          <w:szCs w:val="28"/>
          <w:u w:val="single"/>
        </w:rPr>
        <w:t xml:space="preserve">2</w:t>
      </w:r>
      <w:r>
        <w:rPr>
          <w:b/>
          <w:iCs/>
          <w:sz w:val="28"/>
          <w:szCs w:val="28"/>
          <w:u w:val="single"/>
        </w:rPr>
        <w:t xml:space="preserve">.04.202</w:t>
      </w:r>
      <w:r>
        <w:rPr>
          <w:b/>
          <w:iCs/>
          <w:sz w:val="28"/>
          <w:szCs w:val="28"/>
          <w:u w:val="single"/>
        </w:rPr>
        <w:t xml:space="preserve">6</w:t>
      </w:r>
      <w:r>
        <w:rPr>
          <w:b/>
          <w:iCs/>
          <w:sz w:val="28"/>
          <w:szCs w:val="28"/>
          <w:u w:val="single"/>
        </w:rPr>
        <w:t xml:space="preserve"> по 0</w:t>
      </w:r>
      <w:r>
        <w:rPr>
          <w:b/>
          <w:iCs/>
          <w:sz w:val="28"/>
          <w:szCs w:val="28"/>
          <w:u w:val="single"/>
        </w:rPr>
        <w:t xml:space="preserve">6</w:t>
      </w:r>
      <w:r>
        <w:rPr>
          <w:b/>
          <w:iCs/>
          <w:sz w:val="28"/>
          <w:szCs w:val="28"/>
          <w:u w:val="single"/>
        </w:rPr>
        <w:t xml:space="preserve">.05.202</w:t>
      </w:r>
      <w:r>
        <w:rPr>
          <w:b/>
          <w:iCs/>
          <w:sz w:val="28"/>
          <w:szCs w:val="28"/>
          <w:u w:val="single"/>
        </w:rPr>
        <w:t xml:space="preserve">6</w:t>
      </w:r>
      <w:r>
        <w:rPr>
          <w:b/>
          <w:iCs/>
          <w:sz w:val="28"/>
          <w:szCs w:val="28"/>
          <w:u w:val="single"/>
        </w:rPr>
        <w:t xml:space="preserve"> года.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Проверяемый период </w:t>
      </w:r>
      <w:r>
        <w:rPr>
          <w:b/>
          <w:iCs/>
          <w:sz w:val="28"/>
          <w:szCs w:val="28"/>
        </w:rPr>
        <w:t xml:space="preserve">202</w:t>
      </w:r>
      <w:r>
        <w:rPr>
          <w:b/>
          <w:iCs/>
          <w:sz w:val="28"/>
          <w:szCs w:val="28"/>
        </w:rPr>
        <w:t xml:space="preserve">5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год.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>
        <w:rPr>
          <w:iCs/>
          <w:sz w:val="28"/>
          <w:szCs w:val="28"/>
        </w:rPr>
        <w:t xml:space="preserve">Цель: контроль за соблюдением </w:t>
      </w:r>
      <w:r>
        <w:rPr>
          <w:iCs/>
          <w:sz w:val="28"/>
          <w:szCs w:val="28"/>
          <w:lang w:eastAsia="ar-SA"/>
        </w:rPr>
        <w:t xml:space="preserve">Концессионером</w:t>
      </w:r>
      <w:r>
        <w:rPr>
          <w:iCs/>
          <w:sz w:val="28"/>
          <w:szCs w:val="28"/>
        </w:rPr>
        <w:t xml:space="preserve"> условий Концессионного соглашения, в том числе по соблюдению</w:t>
      </w:r>
      <w:r>
        <w:rPr>
          <w:iCs/>
          <w:color w:val="000000"/>
          <w:sz w:val="28"/>
          <w:szCs w:val="28"/>
        </w:rPr>
        <w:t xml:space="preserve"> сроков создания и реконструкции Объекта соглашения</w:t>
      </w:r>
      <w:r>
        <w:rPr>
          <w:iCs/>
          <w:sz w:val="28"/>
          <w:szCs w:val="28"/>
        </w:rPr>
        <w:t xml:space="preserve">, осуществлению инвестиций в создание, реконструкцию Объекта соглашения, </w:t>
      </w:r>
      <w:r>
        <w:rPr>
          <w:iCs/>
          <w:color w:val="000000"/>
          <w:sz w:val="28"/>
          <w:szCs w:val="28"/>
        </w:rPr>
        <w:t xml:space="preserve">обеспечению соответствия технико-экономических показателей Объекта соглашения установленным Концессионным соглашением технико-экономическим показателям</w:t>
      </w:r>
      <w:r>
        <w:rPr>
          <w:iCs/>
          <w:sz w:val="28"/>
          <w:szCs w:val="28"/>
        </w:rPr>
        <w:t xml:space="preserve">, осуществлению деятельности, предусмотренной Концессионным соглашением, обязательств по использованию (эксплуатации), включая техническое обслуживание, Объекта соглашения, Иного имущества.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</w:p>
    <w:p>
      <w:pPr>
        <w:pStyle w:val="afe"/>
        <w:spacing w:beforeAutospacing="0" w:after="0" w:afterAutospacing="0"/>
        <w:ind w:firstLine="708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Заключение:</w:t>
      </w:r>
    </w:p>
    <w:p>
      <w:pPr>
        <w:spacing w:after="0" w:line="240" w:lineRule="auto"/>
        <w:ind w:firstLine="708"/>
        <w:contextualSpacing/>
        <w:jc w:val="both"/>
        <w:rPr>
          <w:iCs/>
          <w:strike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1. Концессионером в </w:t>
      </w:r>
      <w:r>
        <w:rPr>
          <w:rFonts w:ascii="Times New Roman" w:hAnsi="Times New Roman" w:eastAsia="Times New Roman" w:cs="Times New Roman"/>
          <w:b/>
          <w:iCs/>
          <w:sz w:val="28"/>
          <w:szCs w:val="28"/>
          <w:lang w:eastAsia="ru-RU"/>
        </w:rPr>
        <w:t xml:space="preserve">полном объеме/</w:t>
      </w:r>
      <w:r>
        <w:rPr>
          <w:rFonts w:ascii="Times New Roman" w:hAnsi="Times New Roman" w:eastAsia="Times New Roman" w:cs="Times New Roman"/>
          <w:b/>
          <w:iCs/>
          <w:sz w:val="28"/>
          <w:szCs w:val="28"/>
          <w:u w:val="single"/>
          <w:lang w:eastAsia="ru-RU"/>
        </w:rPr>
        <w:t xml:space="preserve">частично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выполнены мероприятия, предусмотренные Концессионным соглашением, инвестиционными программами Ко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нцессионера (далее – Мероприятия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), согласно приложению 1 к акту.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Объект, в отношении которого было проведено Мероприятие, его состав и описание, включая технико-экономические показатели, </w:t>
      </w:r>
      <w:r>
        <w:rPr>
          <w:b/>
          <w:iCs/>
          <w:sz w:val="28"/>
          <w:szCs w:val="28"/>
          <w:u w:val="single"/>
        </w:rPr>
        <w:t xml:space="preserve">соответствует</w:t>
      </w:r>
      <w:r>
        <w:rPr>
          <w:b/>
          <w:iCs/>
          <w:sz w:val="28"/>
          <w:szCs w:val="28"/>
        </w:rPr>
        <w:t xml:space="preserve">/не соответствует</w:t>
      </w:r>
      <w:r>
        <w:rPr>
          <w:iCs/>
          <w:sz w:val="28"/>
          <w:szCs w:val="28"/>
        </w:rPr>
        <w:t xml:space="preserve">: целям задания и основным мероприятиям, предусмотренным Концессионным соглашением и инвестиционными программами Концессионера.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Концедент </w:t>
      </w:r>
      <w:r>
        <w:rPr>
          <w:b/>
          <w:iCs/>
          <w:sz w:val="28"/>
          <w:szCs w:val="28"/>
        </w:rPr>
        <w:t xml:space="preserve">не имеет</w:t>
      </w:r>
      <w:r>
        <w:rPr>
          <w:iCs/>
          <w:sz w:val="28"/>
          <w:szCs w:val="28"/>
          <w:u w:val="single"/>
        </w:rPr>
        <w:t xml:space="preserve">/</w:t>
      </w:r>
      <w:r>
        <w:rPr>
          <w:b/>
          <w:iCs/>
          <w:sz w:val="28"/>
          <w:szCs w:val="28"/>
          <w:u w:val="single"/>
        </w:rPr>
        <w:t xml:space="preserve">имеет</w:t>
      </w:r>
      <w:r>
        <w:rPr>
          <w:iCs/>
          <w:sz w:val="28"/>
          <w:szCs w:val="28"/>
        </w:rPr>
        <w:t xml:space="preserve"> претензии</w:t>
      </w:r>
      <w:r>
        <w:rPr>
          <w:iCs/>
          <w:sz w:val="28"/>
          <w:szCs w:val="28"/>
        </w:rPr>
        <w:t xml:space="preserve"> к Концессионеру в части исполнения последним обязательств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по выполнению Мероприятий, указанных в приложении 1 к акту.</w:t>
      </w:r>
    </w:p>
    <w:p>
      <w:pPr>
        <w:pStyle w:val="afe"/>
        <w:spacing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Концедент </w:t>
      </w:r>
      <w:r>
        <w:rPr>
          <w:b/>
          <w:iCs/>
          <w:sz w:val="28"/>
          <w:szCs w:val="28"/>
        </w:rPr>
        <w:t xml:space="preserve">не имеет/</w:t>
      </w:r>
      <w:r>
        <w:rPr>
          <w:b/>
          <w:iCs/>
          <w:sz w:val="28"/>
          <w:szCs w:val="28"/>
          <w:u w:val="single"/>
        </w:rPr>
        <w:t xml:space="preserve">имеет</w:t>
      </w:r>
      <w:r>
        <w:rPr>
          <w:iCs/>
          <w:sz w:val="28"/>
          <w:szCs w:val="28"/>
        </w:rPr>
        <w:t xml:space="preserve"> претензии к Концессионеру в части исполнения последним обязательств </w:t>
      </w:r>
      <w:r>
        <w:rPr>
          <w:iCs/>
          <w:sz w:val="28"/>
          <w:szCs w:val="28"/>
        </w:rPr>
        <w:t xml:space="preserve">по- достижению плановых значений показателей надежности, качества и энергетической эффективности согласно приложению 2 к акту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по следующим причинам:</w:t>
      </w:r>
    </w:p>
    <w:p>
      <w:pPr>
        <w:pStyle w:val="afe"/>
        <w:spacing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удельный расход топлива на производство единицы тепловой энергии, отпускаемой с коллекторов источников т</w:t>
      </w:r>
      <w:r>
        <w:rPr>
          <w:iCs/>
          <w:sz w:val="28"/>
          <w:szCs w:val="28"/>
        </w:rPr>
        <w:t xml:space="preserve">епловой энергии 155,01 кг у.т./</w:t>
      </w:r>
      <w:r>
        <w:rPr>
          <w:iCs/>
          <w:sz w:val="28"/>
          <w:szCs w:val="28"/>
        </w:rPr>
        <w:t xml:space="preserve">Гкал (план – </w:t>
      </w:r>
      <w:r>
        <w:rPr>
          <w:iCs/>
          <w:sz w:val="28"/>
          <w:szCs w:val="28"/>
        </w:rPr>
        <w:t xml:space="preserve">152,98 кг у.т./</w:t>
      </w:r>
      <w:r>
        <w:rPr>
          <w:iCs/>
          <w:sz w:val="28"/>
          <w:szCs w:val="28"/>
        </w:rPr>
        <w:t xml:space="preserve">Гкал);</w:t>
      </w:r>
    </w:p>
    <w:p>
      <w:pPr>
        <w:pStyle w:val="afe"/>
        <w:spacing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отношение величины технологических потерь тепловой энергии, теплоносителя к материальной характеристике тепловой сети 2,</w:t>
      </w:r>
      <w:r>
        <w:rPr>
          <w:iCs/>
          <w:sz w:val="28"/>
          <w:szCs w:val="28"/>
        </w:rPr>
        <w:t xml:space="preserve">71</w:t>
      </w:r>
      <w:r>
        <w:rPr>
          <w:iCs/>
          <w:sz w:val="28"/>
          <w:szCs w:val="28"/>
        </w:rPr>
        <w:t xml:space="preserve"> Гкал/м2 (план – 2,21 Гкал/м2);</w:t>
      </w:r>
    </w:p>
    <w:p>
      <w:pPr>
        <w:pStyle w:val="afe"/>
        <w:spacing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величина технологических потерь при передаче тепловой энергии, теплоносителя по тепловым сетям 4</w:t>
      </w:r>
      <w:r>
        <w:rPr>
          <w:iCs/>
          <w:sz w:val="28"/>
          <w:szCs w:val="28"/>
        </w:rPr>
        <w:t xml:space="preserve">31</w:t>
      </w:r>
      <w:r>
        <w:rPr>
          <w:iCs/>
          <w:sz w:val="28"/>
          <w:szCs w:val="28"/>
        </w:rPr>
        <w:t xml:space="preserve">,</w:t>
      </w:r>
      <w:r>
        <w:rPr>
          <w:iCs/>
          <w:sz w:val="28"/>
          <w:szCs w:val="28"/>
        </w:rPr>
        <w:t xml:space="preserve">7</w:t>
      </w:r>
      <w:r>
        <w:rPr>
          <w:iCs/>
          <w:sz w:val="28"/>
          <w:szCs w:val="28"/>
        </w:rPr>
        <w:t xml:space="preserve">2 тыс. Гкал (план – 322,48 тыс. </w:t>
      </w:r>
      <w:r>
        <w:rPr>
          <w:iCs/>
          <w:sz w:val="28"/>
          <w:szCs w:val="28"/>
        </w:rPr>
        <w:t xml:space="preserve">Гкал);</w:t>
      </w:r>
    </w:p>
    <w:p>
      <w:pPr>
        <w:pStyle w:val="afe"/>
        <w:spacing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величина технологических потерь при передаче тепловой энергии, теплоносителя по тепловым сетям 1</w:t>
      </w:r>
      <w:r>
        <w:rPr>
          <w:iCs/>
          <w:sz w:val="28"/>
          <w:szCs w:val="28"/>
        </w:rPr>
        <w:t xml:space="preserve">7</w:t>
      </w:r>
      <w:r>
        <w:rPr>
          <w:iCs/>
          <w:sz w:val="28"/>
          <w:szCs w:val="28"/>
        </w:rPr>
        <w:t xml:space="preserve">,</w:t>
      </w:r>
      <w:r>
        <w:rPr>
          <w:iCs/>
          <w:sz w:val="28"/>
          <w:szCs w:val="28"/>
        </w:rPr>
        <w:t xml:space="preserve">26</w:t>
      </w:r>
      <w:r>
        <w:rPr>
          <w:iCs/>
          <w:sz w:val="28"/>
          <w:szCs w:val="28"/>
        </w:rPr>
        <w:t xml:space="preserve">% от отпуска в сеть (план – 12,88%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от отпуска в сеть).</w:t>
      </w: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</w:p>
    <w:p>
      <w:pPr>
        <w:pStyle w:val="afe"/>
        <w:spacing w:beforeAutospacing="0" w:after="0" w:afterAutospacing="0"/>
        <w:ind w:firstLine="708"/>
        <w:jc w:val="both"/>
        <w:rPr>
          <w:iCs/>
          <w:sz w:val="28"/>
          <w:szCs w:val="28"/>
        </w:rPr>
      </w:pPr>
    </w:p>
    <w:tbl>
      <w:tblPr>
        <w:tblW w:w="9514" w:type="dxa"/>
        <w:tblLayout w:type="fixed"/>
        <w:tblLook w:val="04A0" w:firstRow="1" w:lastRow="0" w:firstColumn="1" w:lastColumn="0" w:noHBand="0" w:noVBand="1"/>
      </w:tblPr>
      <w:tblGrid>
        <w:gridCol w:w="4807"/>
        <w:gridCol w:w="4707"/>
      </w:tblGrid>
      <w:tr>
        <w:tc>
          <w:tcPr>
            <w:tcW w:w="4807" w:type="dxa"/>
          </w:tcPr>
          <w:p>
            <w:pPr>
              <w:widowControl w:val="off"/>
              <w:tabs>
                <w:tab w:val="left" w:pos="426"/>
              </w:tabs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От имени Концедента</w:t>
            </w:r>
          </w:p>
        </w:tc>
        <w:tc>
          <w:tcPr>
            <w:tcW w:w="4707" w:type="dxa"/>
          </w:tcPr>
          <w:p>
            <w:pPr>
              <w:widowControl w:val="off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eastAsia="Times New Roman"/>
                <w:strike/>
                <w:sz w:val="28"/>
                <w:szCs w:val="28"/>
              </w:rPr>
            </w:pPr>
          </w:p>
        </w:tc>
      </w:tr>
      <w:tr>
        <w:tc>
          <w:tcPr>
            <w:tcW w:w="4807" w:type="dxa"/>
          </w:tcPr>
          <w:p>
            <w:pPr>
              <w:widowControl w:val="off"/>
              <w:tabs>
                <w:tab w:val="left" w:pos="426"/>
              </w:tabs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>
            <w:pPr>
              <w:widowControl w:val="off"/>
              <w:tabs>
                <w:tab w:val="left" w:pos="426"/>
              </w:tabs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______</w:t>
            </w:r>
            <w:r>
              <w:rPr>
                <w:rFonts w:ascii="Times New Roman" w:hAnsi="Times New Roman" w:eastAsia="Times New Roman"/>
                <w:sz w:val="28"/>
                <w:szCs w:val="28"/>
                <w:u w:val="single"/>
              </w:rPr>
              <w:t xml:space="preserve">подписан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______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/ Боков А.Н.</w:t>
            </w:r>
          </w:p>
        </w:tc>
        <w:tc>
          <w:tcPr>
            <w:tcW w:w="4707" w:type="dxa"/>
          </w:tcPr>
          <w:p>
            <w:pPr>
              <w:widowControl w:val="off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eastAsia="Times New Roman"/>
                <w:strike/>
                <w:sz w:val="28"/>
                <w:szCs w:val="28"/>
              </w:rPr>
            </w:pPr>
          </w:p>
        </w:tc>
      </w:tr>
      <w:tr>
        <w:tc>
          <w:tcPr>
            <w:tcW w:w="4807" w:type="dxa"/>
          </w:tcPr>
          <w:p>
            <w:pPr>
              <w:keepNext/>
              <w:keepLines/>
              <w:widowControl w:val="off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М. П.</w:t>
            </w:r>
          </w:p>
        </w:tc>
        <w:tc>
          <w:tcPr>
            <w:tcW w:w="4707" w:type="dxa"/>
          </w:tcPr>
          <w:p>
            <w:pPr>
              <w:keepNext/>
              <w:keepLines/>
              <w:widowControl w:val="off"/>
              <w:tabs>
                <w:tab w:val="left" w:pos="426"/>
              </w:tabs>
              <w:spacing w:after="0" w:line="240" w:lineRule="auto"/>
              <w:ind w:left="1707" w:hanging="1707"/>
              <w:jc w:val="both"/>
              <w:rPr>
                <w:rFonts w:ascii="Times New Roman" w:hAnsi="Times New Roman" w:eastAsia="Times New Roman"/>
                <w:strike/>
                <w:sz w:val="28"/>
                <w:szCs w:val="28"/>
              </w:rPr>
            </w:pPr>
          </w:p>
        </w:tc>
      </w:tr>
    </w:tbl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iCs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Акт составил:</w:t>
      </w:r>
    </w:p>
    <w:p>
      <w:pPr>
        <w:pStyle w:val="afe"/>
        <w:tabs>
          <w:tab w:val="left" w:pos="945"/>
        </w:tabs>
        <w:spacing w:before="280" w:after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специалист-эксперт отдела инженерной</w:t>
      </w:r>
    </w:p>
    <w:p>
      <w:pPr>
        <w:pStyle w:val="afe"/>
        <w:tabs>
          <w:tab w:val="left" w:pos="945"/>
        </w:tabs>
        <w:spacing w:before="280" w:after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инфраструктуры и концессий департамента </w:t>
      </w:r>
    </w:p>
    <w:p>
      <w:pPr>
        <w:pStyle w:val="afe"/>
        <w:tabs>
          <w:tab w:val="left" w:pos="945"/>
        </w:tabs>
        <w:spacing w:before="280" w:after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жилищно-коммунального </w:t>
      </w:r>
    </w:p>
    <w:p>
      <w:pPr>
        <w:pStyle w:val="afe"/>
        <w:tabs>
          <w:tab w:val="left" w:pos="945"/>
        </w:tabs>
        <w:spacing w:before="280" w:after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хозяйства администрации города</w:t>
      </w:r>
    </w:p>
    <w:p>
      <w:pPr>
        <w:pStyle w:val="afe"/>
        <w:tabs>
          <w:tab w:val="left" w:pos="945"/>
        </w:tabs>
        <w:spacing w:before="280" w:after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Миндубаева Кадрия Вазыховна </w:t>
      </w: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  <w:r>
        <w:rPr>
          <w:rStyle w:val="a8"/>
          <w:rFonts w:eastAsiaTheme="majorEastAsia"/>
          <w:b w:val="0"/>
          <w:iCs/>
          <w:sz w:val="16"/>
        </w:rPr>
        <w:t xml:space="preserve">тел. (3466) 41-69-79 (доб.28528)</w:t>
      </w: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</w:p>
    <w:p>
      <w:pPr>
        <w:pStyle w:val="afe"/>
        <w:tabs>
          <w:tab w:val="left" w:pos="945"/>
        </w:tabs>
        <w:spacing w:before="280" w:beforeAutospacing="0" w:after="0" w:afterAutospacing="0"/>
        <w:contextualSpacing/>
        <w:rPr>
          <w:rStyle w:val="a8"/>
          <w:rFonts w:eastAsiaTheme="majorEastAsia"/>
          <w:b w:val="0"/>
          <w:iCs/>
          <w:sz w:val="16"/>
        </w:rPr>
      </w:pPr>
    </w:p>
    <w:p>
      <w:pPr>
        <w:pStyle w:val="afe"/>
        <w:spacing w:before="280" w:beforeAutospacing="0" w:after="0" w:afterAutospacing="0"/>
        <w:ind w:firstLine="709"/>
        <w:contextualSpacing/>
        <w:jc w:val="right"/>
        <w:rPr>
          <w:rStyle w:val="a8"/>
          <w:rFonts w:eastAsiaTheme="majorEastAsia"/>
          <w:b w:val="0"/>
          <w:iCs/>
        </w:rPr>
      </w:pPr>
      <w:r>
        <w:rPr>
          <w:rStyle w:val="a8"/>
          <w:rFonts w:eastAsiaTheme="majorEastAsia"/>
          <w:iCs/>
        </w:rPr>
        <w:t xml:space="preserve">Приложение 1 к акту о результатах контроля </w:t>
      </w:r>
    </w:p>
    <w:p>
      <w:pPr>
        <w:pStyle w:val="afe"/>
        <w:spacing w:before="280" w:beforeAutospacing="0" w:after="0" w:afterAutospacing="0"/>
        <w:ind w:firstLine="709"/>
        <w:contextualSpacing/>
        <w:jc w:val="right"/>
        <w:rPr>
          <w:rStyle w:val="a8"/>
          <w:rFonts w:eastAsiaTheme="majorEastAsia"/>
          <w:b w:val="0"/>
          <w:iCs/>
        </w:rPr>
      </w:pPr>
      <w:r>
        <w:rPr>
          <w:rStyle w:val="a8"/>
          <w:rFonts w:eastAsiaTheme="majorEastAsia"/>
          <w:iCs/>
        </w:rPr>
        <w:t xml:space="preserve">об исполнении Концессионером мероприятий,</w:t>
      </w:r>
    </w:p>
    <w:p>
      <w:pPr>
        <w:pStyle w:val="afe"/>
        <w:spacing w:before="280" w:beforeAutospacing="0" w:after="0" w:afterAutospacing="0"/>
        <w:ind w:firstLine="709"/>
        <w:contextualSpacing/>
        <w:jc w:val="right"/>
        <w:rPr>
          <w:rStyle w:val="a8"/>
          <w:rFonts w:eastAsiaTheme="majorEastAsia"/>
          <w:b w:val="0"/>
          <w:iCs/>
        </w:rPr>
      </w:pPr>
      <w:r>
        <w:rPr>
          <w:rStyle w:val="a8"/>
          <w:rFonts w:eastAsiaTheme="majorEastAsia"/>
          <w:iCs/>
        </w:rPr>
        <w:t xml:space="preserve"> предусмотренных Концессионным соглашением</w:t>
      </w:r>
    </w:p>
    <w:p>
      <w:pPr>
        <w:pStyle w:val="afe"/>
        <w:spacing w:before="280" w:beforeAutospacing="0" w:after="0" w:afterAutospacing="0"/>
        <w:contextualSpacing/>
        <w:jc w:val="center"/>
        <w:rPr>
          <w:rStyle w:val="a8"/>
          <w:rFonts w:eastAsiaTheme="majorEastAsia"/>
          <w:b w:val="0"/>
          <w:iCs/>
        </w:rPr>
      </w:pPr>
    </w:p>
    <w:p>
      <w:pPr>
        <w:pStyle w:val="afe"/>
        <w:spacing w:after="0" w:afterAutospacing="0"/>
        <w:ind w:firstLine="708"/>
        <w:jc w:val="center"/>
        <w:rPr>
          <w:rFonts w:eastAsiaTheme="majorEastAsia"/>
          <w:b/>
        </w:rPr>
      </w:pPr>
      <w:r>
        <w:rPr>
          <w:b/>
          <w:bCs/>
        </w:rPr>
        <w:t xml:space="preserve">Выполнение Концессионером мероприятий</w:t>
      </w:r>
    </w:p>
    <w:p>
      <w:pPr>
        <w:pStyle w:val="afe"/>
        <w:spacing w:after="0" w:afterAutospacing="0"/>
        <w:contextualSpacing/>
        <w:jc w:val="center"/>
        <w:rPr>
          <w:rStyle w:val="a8"/>
          <w:rFonts w:eastAsiaTheme="majorEastAsia"/>
          <w:b w:val="0"/>
          <w:iCs/>
        </w:rPr>
      </w:pPr>
      <w:r>
        <w:rPr>
          <w:rStyle w:val="a8"/>
          <w:rFonts w:eastAsiaTheme="majorEastAsia"/>
          <w:i/>
          <w:iCs/>
        </w:rPr>
        <w:t xml:space="preserve">за период </w:t>
      </w:r>
      <w:r>
        <w:rPr>
          <w:rStyle w:val="a8"/>
          <w:rFonts w:eastAsiaTheme="majorEastAsia"/>
          <w:i/>
          <w:iCs/>
        </w:rPr>
        <w:t xml:space="preserve">202</w:t>
      </w:r>
      <w:r>
        <w:rPr>
          <w:rStyle w:val="a8"/>
          <w:rFonts w:eastAsiaTheme="majorEastAsia"/>
          <w:i/>
          <w:iCs/>
        </w:rPr>
        <w:t xml:space="preserve">5</w:t>
      </w:r>
      <w:r>
        <w:rPr>
          <w:rStyle w:val="a8"/>
          <w:rFonts w:eastAsiaTheme="majorEastAsia"/>
          <w:i/>
          <w:iCs/>
        </w:rPr>
        <w:t xml:space="preserve"> год</w:t>
      </w:r>
    </w:p>
    <w:p>
      <w:pPr>
        <w:pStyle w:val="afe"/>
        <w:spacing w:after="0" w:afterAutospacing="0"/>
        <w:contextualSpacing/>
        <w:jc w:val="center"/>
        <w:rPr>
          <w:rStyle w:val="a8"/>
          <w:rFonts w:eastAsiaTheme="majorEastAsia"/>
          <w:b w:val="0"/>
          <w:iCs/>
        </w:rPr>
      </w:pPr>
    </w:p>
    <w:tbl>
      <w:tblPr>
        <w:tblW w:w="10484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973"/>
        <w:gridCol w:w="2266"/>
        <w:gridCol w:w="1141"/>
        <w:gridCol w:w="1274"/>
        <w:gridCol w:w="1131"/>
        <w:gridCol w:w="1137"/>
        <w:gridCol w:w="1145"/>
        <w:gridCol w:w="1407"/>
      </w:tblGrid>
      <w:tr>
        <w:trPr>
          <w:gridBefore w:val="1"/>
          <w:jc w:val="center"/>
          <w:trHeight w:val="458"/>
          <w:tblHeader/>
        </w:trPr>
        <w:tc>
          <w:tcPr>
            <w:tcW w:w="97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№ п/п</w:t>
            </w:r>
          </w:p>
        </w:tc>
        <w:tc>
          <w:tcPr>
            <w:tcW w:w="226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Наименование мероприятий</w:t>
            </w:r>
          </w:p>
        </w:tc>
        <w:tc>
          <w:tcPr>
            <w:tcW w:w="2415" w:type="dxa"/>
            <w:gridSpan w:val="2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Дата реализации мероприятий</w:t>
            </w:r>
          </w:p>
        </w:tc>
        <w:tc>
          <w:tcPr>
            <w:tcW w:w="2268" w:type="dxa"/>
            <w:gridSpan w:val="2"/>
            <w:tcBorders>
              <w:top w:val="single" w:color="000000" w:sz="8" w:space="0"/>
              <w:left w:val="none"/>
              <w:bottom w:val="none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Объём выполнения мероприятий за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145" w:type="dxa"/>
            <w:vMerge w:val="restart"/>
            <w:tcBorders>
              <w:top w:val="single" w:color="000000" w:sz="8" w:space="0"/>
              <w:left w:val="none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мероприятий с 2019 по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годы (нарастающим итогом)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(м.шт)</w:t>
            </w:r>
          </w:p>
        </w:tc>
        <w:tc>
          <w:tcPr>
            <w:tcW w:w="140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Общий объем мероприятия</w:t>
            </w:r>
          </w:p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до окончания срока действия КС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(м.шт)</w:t>
            </w:r>
          </w:p>
        </w:tc>
      </w:tr>
      <w:tr>
        <w:trPr>
          <w:gridBefore w:val="1"/>
          <w:jc w:val="center"/>
          <w:trHeight w:val="671"/>
          <w:tblHeader/>
        </w:trPr>
        <w:tc>
          <w:tcPr>
            <w:tcW w:w="97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one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 соответствии с условиями КС/ИП</w:t>
            </w:r>
          </w:p>
        </w:tc>
        <w:tc>
          <w:tcPr>
            <w:tcW w:w="1274" w:type="dxa"/>
            <w:tcBorders>
              <w:top w:val="none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(дата подписания акта приемки выполненных работ)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 соответствии с условиями КС/ИП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(м.шт)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мероприятий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(м.шт)</w:t>
            </w:r>
          </w:p>
        </w:tc>
        <w:tc>
          <w:tcPr>
            <w:tcW w:w="1145" w:type="dxa"/>
            <w:vMerge w:val="continue"/>
            <w:tcBorders>
              <w:top w:val="single" w:color="000000" w:sz="8" w:space="0"/>
              <w:left w:val="none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</w:tr>
      <w:tr>
        <w:trPr>
          <w:gridBefore w:val="1"/>
          <w:jc w:val="center"/>
          <w:trHeight w:val="228"/>
          <w:tblHeader/>
        </w:trPr>
        <w:tc>
          <w:tcPr>
            <w:tcW w:w="9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3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1047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  <w:hideMark/>
          </w:tcPr>
          <w:p>
            <w:pPr>
              <w:widowControl w:val="off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Мероприятия в сфере теплоснабжения</w:t>
            </w:r>
          </w:p>
        </w:tc>
      </w:tr>
      <w:tr>
        <w:trPr>
          <w:gridBefore w:val="1"/>
          <w:jc w:val="center"/>
          <w:trHeight w:val="1599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 xml:space="preserve">3.1.2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o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Модернизация (техническое перевооружение) дополнительных участков тепловых сетей, определенных по результатам гидравлических испытаний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2029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1185,2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1022,25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1050,91</w:t>
            </w:r>
          </w:p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1050,91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3.1.2.9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"ТС от УТ-55 - УТ-56 до УТ-57 по ул.60 лет Октября", инв.№5000003281 в составе объекта: Магистральные тепловые сети (от котельной №5, расположенной по улице Кузоваткина №1а)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25.12.2024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192,50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192,50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3.1.2.9.1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«ТС от УТ-55 - УТ-56 до УТ-57 по ул.60 лет Октября», инв. № 5000003281 в составе объекта: Магистральные тепловые сети (от котельной №5, расположенной по улице Кузоваткина  № 1а) (Участок тепловой сети от точки «В» до точки «С» (напротив ж.д. № 23 по ул.60 лет Октября))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17.03.2026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67,00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64,50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64,50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64,50</w:t>
            </w:r>
          </w:p>
        </w:tc>
      </w:tr>
      <w:tr>
        <w:trPr>
          <w:gridBefore w:val="1"/>
          <w:jc w:val="center"/>
          <w:trHeight w:val="1237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3.1.2.11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"ТС от УТ-70 до УТ-72 по ул. Интернациональной Кот.3", инв.№5000003829 в составе объекта: Магистральные тепловые сети от котельной №3А, расположенной по ул. Интернациональной, №71в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115,00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53,43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82,09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82,09</w:t>
            </w:r>
          </w:p>
        </w:tc>
      </w:tr>
      <w:tr>
        <w:trPr>
          <w:jc w:val="center"/>
          <w:trHeight w:val="228"/>
        </w:trPr>
        <w:tc>
          <w:tcPr>
            <w:tcW w:w="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3.1.2.17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"Сети теплоснабжения от ЦТП 8/2 до наружной стены жилого дома №15/2 по ул. Ленина" инв.№5000004135  в составе объекта: Сооружения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351,00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377,36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377,36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377,36</w:t>
            </w:r>
          </w:p>
        </w:tc>
      </w:tr>
      <w:tr>
        <w:trPr>
          <w:jc w:val="center"/>
          <w:trHeight w:val="999"/>
        </w:trPr>
        <w:tc>
          <w:tcPr>
            <w:tcW w:w="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3.1.2.18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"ТС от УТ-5 до УТ-2" инв.№5000008029 в составе объекта: Инженерные сети 10 "Г" микрорайона. Внутриквартальные тепловые сети.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184,00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222,30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222,30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222,30</w:t>
            </w:r>
          </w:p>
        </w:tc>
      </w:tr>
      <w:tr>
        <w:trPr>
          <w:jc w:val="center"/>
          <w:trHeight w:val="820"/>
        </w:trPr>
        <w:tc>
          <w:tcPr>
            <w:tcW w:w="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3.1.2.22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ТС посёлка  Рыбозавод инв.№ 5000008942 (объекта концессионного соглашения: Сети теплоснабжения пос.Рыбозавод)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34,00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35,89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35,89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35,89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3.1.2.23.1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«ТС УТ-54 - 54А - 55 ул.2П (60 лет Октября) Кот.5» инв. № 5000003304 в составе объекта: Магистральные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тепловые сети (от котельной № 5, расположенной по улице Кузоваткина № 1а) (Участок тепловой сети от УТ-2-54А (точка А) до УТ-2-54 (точка Б))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17.03.2026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78,70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84,69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84,69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84,69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3.1.2.26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"ТС от УТ-44 до детского сада 34 (д/сад 77 "Эрудит")" инв.№ 5000007702 в составе объекта: Тепловые сети 10А микрорайона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15.10.2025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61,00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71,78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71,78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71,78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3.1.2.27.1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«ТС от УТ-63 до УТ-63А по ул. Др.Народов (ул.13)» инв. № 5000007590 в составе объекта: Магистральные тепловые сети от котельной № 3А, расположенной по ул. Интернациональной,   № 71в. (Участок тепловой сети от точки «А» со стороны УТ-63А до точки «Б»  (район ж.д. №15 по ул.Дружбы Народов))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17.03.2026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102,80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112,30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112,30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112,30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3.2.2.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котельной №2А 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не выполнено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3.2.3.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 котельной  №5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31.12.2028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Частичное выполнение мероприятия, срок реализации не наступил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3.2.4.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котельной №8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не выполнено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3.2.5.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котельной №8А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не выполнено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3.2.6.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котельной №8Б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не выполнено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3.2.7.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тепловых, подмешивающих станций (ПС)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31.12.2029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Частичное выполнение мероприятия, срок реализации не наступил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</w:t>
            </w:r>
          </w:p>
        </w:tc>
      </w:tr>
      <w:tr>
        <w:trPr>
          <w:gridBefore w:val="1"/>
          <w:jc w:val="center"/>
          <w:trHeight w:val="228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3.2.8.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Модернизация (техническое перевооружение) ЦТП)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31.12.2029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Частичное выполнение мероприятия, срок реализации не наступил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</w:t>
            </w:r>
          </w:p>
        </w:tc>
      </w:tr>
    </w:tbl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tbl>
      <w:tblPr>
        <w:tblW w:w="10066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2135"/>
        <w:gridCol w:w="1140"/>
        <w:gridCol w:w="1275"/>
        <w:gridCol w:w="1131"/>
        <w:gridCol w:w="1136"/>
        <w:gridCol w:w="1146"/>
        <w:gridCol w:w="1121"/>
      </w:tblGrid>
      <w:tr>
        <w:trPr>
          <w:jc w:val="center"/>
          <w:trHeight w:val="228"/>
        </w:trPr>
        <w:tc>
          <w:tcPr>
            <w:tcW w:w="10066" w:type="dxa"/>
            <w:gridSpan w:val="8"/>
            <w:tcBorders>
              <w:bottom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Мероприятия в сфере горячего водоснабжения</w:t>
            </w:r>
          </w:p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>
        <w:trPr>
          <w:jc w:val="center"/>
          <w:trHeight w:val="458"/>
        </w:trPr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№ п/п</w:t>
            </w:r>
          </w:p>
        </w:tc>
        <w:tc>
          <w:tcPr>
            <w:tcW w:w="2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Наименование мероприятий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Дата реализации мероприятий</w:t>
            </w:r>
          </w:p>
        </w:tc>
        <w:tc>
          <w:tcPr>
            <w:tcW w:w="22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Объём выполнения мероприятий за 2025 год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мероприятий с 2019 по 2025 годы (нарастающим итогом) (м.шт)</w:t>
            </w:r>
          </w:p>
        </w:tc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Общий объем мероприятия</w:t>
            </w:r>
          </w:p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до окончания срока действия КС (м.шт)</w:t>
            </w:r>
          </w:p>
        </w:tc>
      </w:tr>
      <w:tr>
        <w:trPr>
          <w:jc w:val="center"/>
          <w:trHeight w:val="671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 соответствии с условиями КС/ИП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(дата подписания акта приемки выполненных работ)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в соответствии с условиями КС/ИП (м.шт)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 выполнения мероприятий (м.шт)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1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7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8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 xml:space="preserve">3.1.2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 xml:space="preserve">Модернизация (техническое перевооружение) сетей горячего водоснабжения                                                          в том числе: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 xml:space="preserve">2026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638,00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755,83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755,83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o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 xml:space="preserve">872,83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3.1.2.4.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"ГВ от ЦТП-66 (10Г/3) до УТ-2 (Интернациональная,2Б/1,2Б/3)", инв.№5100007989 в составе объекта: Сети горячего водоснабжения 10Г микрорайона 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72,00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77,20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77,20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77,20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3.1.2.5.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ГВ от УТ-5 до УТ-2, инв.№5100008030 в составе объекта: Сети горячего водоснабжения 10Г микрорайона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150,00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182,14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182,14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182,14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3.1.2.6.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"ГВ от ЦТП-8/2 до наружной стены ж.д. № 15/2 по ул. Ленина", инв.№5100004152 в составе объекта: Сооружения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220,00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389,25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389,25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389,25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3.1.2.7.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"ГВ от УТ-44 до д/сада 34 (д/сад 77 "Эрудит")" инв.№ 5100007703 в составе объекта: Сети горячего водоснабжения 10А микрорайона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15.10.2025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61,00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66,24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66,24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66,24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3.1.2.10.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ГВ от ЦТП-1/4 - ж.д.57И (60 лет Октября,11) инв.№ 5100008375 в составе объекта: Сети горячего водоснабжения 1 микрорайона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16.12.2025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18,00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41,00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41,00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41,00</w:t>
            </w:r>
          </w:p>
        </w:tc>
      </w:tr>
      <w:tr>
        <w:trPr>
          <w:jc w:val="center"/>
          <w:trHeight w:val="228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.1.2.11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"ГВ от ж.д. 57и (60 лет Октября,11) через ж.д. Проспект Победы,1 до ж.д.36А (Проспект Победы,3;5) " инв.№ 5100008367 в составе объекта: Сети горячего водоснабжения 1 микрорайона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31.12.2025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не выполнено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117</w:t>
            </w:r>
          </w:p>
        </w:tc>
      </w:tr>
    </w:tbl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contextualSpacing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Приложение </w:t>
      </w:r>
      <w:r>
        <w:rPr>
          <w:rStyle w:val="a8"/>
          <w:iCs/>
        </w:rPr>
        <w:t xml:space="preserve">2 </w:t>
      </w:r>
      <w:r>
        <w:rPr>
          <w:rStyle w:val="a8"/>
          <w:iCs/>
        </w:rPr>
        <w:t xml:space="preserve">к акту о результатах контроля 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об исполнении Концессионером мероприятий,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 предусмотренных Концессионным соглашением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Cs/>
        </w:rPr>
      </w:pPr>
      <w:r>
        <w:rPr>
          <w:rStyle w:val="a8"/>
          <w:iCs/>
        </w:rPr>
        <w:t xml:space="preserve">Мониторинг показателей надежности, качества и энергетической эффективности объектов </w:t>
      </w:r>
      <w:r>
        <w:rPr>
          <w:rStyle w:val="a8"/>
          <w:i/>
        </w:rPr>
        <w:t xml:space="preserve">теплоснабжения, централизованных</w:t>
      </w:r>
      <w:r>
        <w:rPr>
          <w:rStyle w:val="a8"/>
          <w:i/>
        </w:rPr>
        <w:t xml:space="preserve"> систем горячего водоснабжения,</w:t>
      </w:r>
      <w:r>
        <w:rPr>
          <w:rStyle w:val="a8"/>
          <w:i/>
        </w:rPr>
        <w:t xml:space="preserve"> </w:t>
      </w:r>
      <w:bookmarkStart w:id="1" w:name="_Hlk517860760"/>
      <w:r>
        <w:rPr>
          <w:rStyle w:val="a8"/>
          <w:i/>
        </w:rPr>
        <w:br/>
      </w:r>
      <w:r>
        <w:rPr>
          <w:rStyle w:val="a8"/>
          <w:i/>
        </w:rPr>
        <w:t xml:space="preserve">за период</w:t>
      </w:r>
      <w:bookmarkEnd w:id="1"/>
      <w:r>
        <w:rPr>
          <w:rStyle w:val="a8"/>
          <w:i/>
        </w:rPr>
        <w:t xml:space="preserve"> 202</w:t>
      </w:r>
      <w:r>
        <w:rPr>
          <w:rStyle w:val="a8"/>
          <w:i/>
        </w:rPr>
        <w:t xml:space="preserve">5</w:t>
      </w:r>
      <w:r>
        <w:rPr>
          <w:rStyle w:val="a8"/>
          <w:i/>
        </w:rPr>
        <w:t xml:space="preserve"> год</w:t>
      </w:r>
    </w:p>
    <w:p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7"/>
        <w:tblW w:w="932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5810"/>
        <w:gridCol w:w="993"/>
        <w:gridCol w:w="993"/>
        <w:gridCol w:w="994"/>
      </w:tblGrid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№ п/п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Наименование показателя*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Ед.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измерения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План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Факт</w:t>
            </w:r>
          </w:p>
        </w:tc>
      </w:tr>
      <w:tr>
        <w:trPr>
          <w:jc w:val="center"/>
        </w:trPr>
        <w:tc>
          <w:tcPr>
            <w:tcW w:w="7337" w:type="dxa"/>
            <w:gridSpan w:val="3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Теплоснабжение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  <w:trHeight w:val="70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1.</w:t>
            </w:r>
          </w:p>
        </w:tc>
        <w:tc>
          <w:tcPr>
            <w:tcW w:w="6803" w:type="dxa"/>
            <w:gridSpan w:val="2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Показатели надежности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1.1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ед./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км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0,48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109</w:t>
            </w: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1.2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ед./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Гкал/ч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2.</w:t>
            </w:r>
          </w:p>
        </w:tc>
        <w:tc>
          <w:tcPr>
            <w:tcW w:w="6803" w:type="dxa"/>
            <w:gridSpan w:val="2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Показатели энергетической эффективности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2.1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удельный расход 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кг у.т./ Гкал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152,98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</w:t>
            </w: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2.2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Гкал/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м2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2,21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71</w:t>
            </w: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2.3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тыс.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Гкал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322,48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</w:p>
        </w:tc>
      </w:tr>
      <w:tr>
        <w:trPr>
          <w:jc w:val="center"/>
          <w:trHeight w:val="836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2.3.1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 % от отпуска в сеть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12,88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</w:t>
            </w:r>
          </w:p>
        </w:tc>
      </w:tr>
      <w:tr>
        <w:trPr>
          <w:jc w:val="center"/>
        </w:trPr>
        <w:tc>
          <w:tcPr>
            <w:tcW w:w="7337" w:type="dxa"/>
            <w:gridSpan w:val="3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Горячее водоснабжение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1.</w:t>
            </w:r>
          </w:p>
        </w:tc>
        <w:tc>
          <w:tcPr>
            <w:tcW w:w="6803" w:type="dxa"/>
            <w:gridSpan w:val="2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Показатели надежности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1.1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для централизованных систем горячего водоснабжения - количество перерывов в подаче воды, зафиксированных в местах исполнения обязательств организацией, осуществляющей горячее водоснабжение,  по подаче горячей воды, возникших в результате аварий, повреждений и иных технологических нарушений на объектах централизованной системы горячего водоснабжения, принадлежащих организации, осуществляющей горячее водоснабжение в расчете на протяженность водопроводной сети в год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ед./км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0,73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2.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Показатели качества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2.1</w:t>
            </w:r>
          </w:p>
        </w:tc>
        <w:tc>
          <w:tcPr>
            <w:tcW w:w="5810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доля проб горячей воды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%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</w:t>
            </w:r>
          </w:p>
        </w:tc>
        <w:tc>
          <w:tcPr>
            <w:tcW w:w="99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  <w:trHeight w:val="134"/>
        </w:trPr>
        <w:tc>
          <w:tcPr>
            <w:tcW w:w="534" w:type="dxa"/>
            <w:tcBorders>
              <w:bottom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2.2</w:t>
            </w:r>
          </w:p>
        </w:tc>
        <w:tc>
          <w:tcPr>
            <w:tcW w:w="5810" w:type="dxa"/>
            <w:tcBorders>
              <w:bottom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доля проб горячей воды в сети горячего водоснабжения, не соответствующих установленным требованиям (за исключением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температуры), в общем объеме проб, отобранных по результатам производственного контроля качества горячей воды</w:t>
            </w:r>
          </w:p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%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</w:p>
        </w:tc>
        <w:tc>
          <w:tcPr>
            <w:tcW w:w="994" w:type="dxa"/>
            <w:tcBorders>
              <w:bottom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3.</w:t>
            </w:r>
          </w:p>
        </w:tc>
        <w:tc>
          <w:tcPr>
            <w:tcW w:w="5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Показатели энергетической эффективности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534" w:type="dxa"/>
            <w:tcBorders>
              <w:top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</w:t>
            </w:r>
          </w:p>
        </w:tc>
        <w:tc>
          <w:tcPr>
            <w:tcW w:w="5810" w:type="dxa"/>
            <w:tcBorders>
              <w:top w:val="single" w:color="auto" w:sz="4" w:space="0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%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</w:p>
        </w:tc>
        <w:tc>
          <w:tcPr>
            <w:tcW w:w="994" w:type="dxa"/>
            <w:tcBorders>
              <w:top w:val="single" w:color="auto" w:sz="4" w:space="0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</w:p>
        </w:tc>
      </w:tr>
      <w:tr>
        <w:trPr>
          <w:jc w:val="center"/>
        </w:trPr>
        <w:tc>
          <w:tcPr>
            <w:tcW w:w="534" w:type="dxa"/>
            <w:tcBorders>
              <w:top w:val="none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3.2</w:t>
            </w:r>
          </w:p>
        </w:tc>
        <w:tc>
          <w:tcPr>
            <w:tcW w:w="5810" w:type="dxa"/>
            <w:tcBorders>
              <w:top w:val="none"/>
            </w:tcBorders>
          </w:tcPr>
          <w:p>
            <w:pPr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удельное количество тепловой энергии, расходуемое на подогрев горячей воды</w:t>
            </w:r>
          </w:p>
        </w:tc>
        <w:tc>
          <w:tcPr>
            <w:tcW w:w="993" w:type="dxa"/>
            <w:tcBorders>
              <w:top w:val="none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Гкал/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м3</w:t>
            </w:r>
          </w:p>
        </w:tc>
        <w:tc>
          <w:tcPr>
            <w:tcW w:w="993" w:type="dxa"/>
            <w:tcBorders>
              <w:top w:val="none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0,0803</w:t>
            </w:r>
          </w:p>
        </w:tc>
        <w:tc>
          <w:tcPr>
            <w:tcW w:w="994" w:type="dxa"/>
            <w:tcBorders>
              <w:top w:val="none"/>
            </w:tcBorders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92</w:t>
            </w:r>
          </w:p>
        </w:tc>
      </w:tr>
    </w:tbl>
    <w:p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*Примечание: </w:t>
      </w:r>
      <w:r>
        <w:rPr>
          <w:rFonts w:ascii="Times New Roman" w:hAnsi="Times New Roman" w:cs="Times New Roman"/>
          <w:sz w:val="20"/>
          <w:szCs w:val="20"/>
        </w:rPr>
        <w:t xml:space="preserve">значения рассчитываются в соответствии с постановлением Правительства Российской Федерации от 16.05.2014 №452 «Об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 и о внесении изменения в постановление Правительства Российской Федерации от 15 мая 2010 г. №340» и приказом Минстроя России от 04.04.2014 №162/пр 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показателей».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afe"/>
        <w:spacing w:beforeAutospacing="0" w:after="0" w:afterAutospacing="0"/>
        <w:contextualSpacing/>
        <w:rPr>
          <w:rFonts w:eastAsiaTheme="minorEastAsia"/>
        </w:rPr>
      </w:pPr>
    </w:p>
    <w:p>
      <w:pPr>
        <w:pStyle w:val="afe"/>
        <w:spacing w:beforeAutospacing="0" w:after="0" w:afterAutospacing="0"/>
        <w:contextualSpacing/>
        <w:rPr>
          <w:rFonts w:eastAsiaTheme="minorEastAsia"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Приложение </w:t>
      </w:r>
      <w:r>
        <w:rPr>
          <w:rStyle w:val="a8"/>
          <w:iCs/>
        </w:rPr>
        <w:t xml:space="preserve">3 </w:t>
      </w:r>
      <w:r>
        <w:rPr>
          <w:rStyle w:val="a8"/>
          <w:iCs/>
        </w:rPr>
        <w:t xml:space="preserve">к акту о результатах контроля 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об исполнении Концессионером мероприятий,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 предусмотренных Концессионным соглашением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Cs/>
        </w:rPr>
      </w:pPr>
      <w:r>
        <w:rPr>
          <w:rStyle w:val="a8"/>
          <w:iCs/>
        </w:rPr>
        <w:t xml:space="preserve">Мониторинг </w:t>
      </w:r>
      <w:r>
        <w:t xml:space="preserve">долгосрочных параметров регулирования деятельности Концессионера </w:t>
      </w:r>
    </w:p>
    <w:p>
      <w:pPr>
        <w:pStyle w:val="afe"/>
        <w:spacing w:beforeAutospacing="0" w:after="0" w:afterAutospacing="0"/>
        <w:contextualSpacing/>
        <w:jc w:val="center"/>
        <w:rPr>
          <w:rStyle w:val="a8"/>
          <w:i/>
        </w:rPr>
      </w:pPr>
      <w:r>
        <w:rPr>
          <w:rStyle w:val="a8"/>
          <w:i/>
        </w:rPr>
        <w:t xml:space="preserve">теплоснабжения, централизованных систем горячего водоснабжения, </w:t>
      </w: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Cs/>
        </w:rPr>
      </w:pPr>
      <w:r>
        <w:rPr>
          <w:rStyle w:val="a8"/>
          <w:i/>
        </w:rPr>
        <w:t xml:space="preserve">за период </w:t>
      </w:r>
      <w:bookmarkStart w:id="2" w:name="_Hlk517692821"/>
      <w:bookmarkEnd w:id="2"/>
      <w:r>
        <w:rPr>
          <w:rStyle w:val="a8"/>
          <w:i/>
        </w:rPr>
        <w:t xml:space="preserve">202</w:t>
      </w:r>
      <w:r>
        <w:rPr>
          <w:rStyle w:val="a8"/>
          <w:i/>
        </w:rPr>
        <w:t xml:space="preserve">5</w:t>
      </w:r>
      <w:r>
        <w:rPr>
          <w:rStyle w:val="a8"/>
          <w:i/>
        </w:rPr>
        <w:t xml:space="preserve"> год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7"/>
        <w:tblW w:w="9707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5698"/>
        <w:gridCol w:w="993"/>
        <w:gridCol w:w="1163"/>
        <w:gridCol w:w="1307"/>
        <w:gridCol w:w="12"/>
      </w:tblGrid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№ п/п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Наименование показателя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Ед.</w:t>
            </w:r>
          </w:p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измерения</w:t>
            </w:r>
          </w:p>
        </w:tc>
        <w:tc>
          <w:tcPr>
            <w:tcW w:w="116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План</w:t>
            </w:r>
          </w:p>
        </w:tc>
        <w:tc>
          <w:tcPr>
            <w:tcW w:w="1307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Факт</w:t>
            </w:r>
          </w:p>
        </w:tc>
      </w:tr>
      <w:tr>
        <w:trPr>
          <w:jc w:val="center"/>
        </w:trPr>
        <w:tc>
          <w:tcPr>
            <w:tcW w:w="9707" w:type="dxa"/>
            <w:gridSpan w:val="6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Теплоснабжение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Базовый уровень операционных расходов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172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571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Индекс эффективности операционных расходов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1,00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1,00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Нормативный уровень прибыли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 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968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72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3.1.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То же самое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57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57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4.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Сумма валовой выручки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4 023 204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4 277 295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5.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Theme="majorBidi" w:hAnsiTheme="majorBidi" w:cstheme="majorBidi"/>
                <w:bCs/>
                <w:iCs/>
                <w:sz w:val="20"/>
                <w:szCs w:val="20"/>
              </w:rPr>
            </w:pPr>
            <w:r>
              <w:rPr>
                <w:rFonts w:eastAsia="Calibri" w:asciiTheme="majorBidi" w:hAnsiTheme="majorBidi" w:cstheme="majorBidi"/>
                <w:bCs/>
                <w:iCs/>
                <w:sz w:val="20"/>
                <w:szCs w:val="20"/>
              </w:rPr>
              <w:t xml:space="preserve">Изменение суммы валовой выручки к предыдущему году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Calibri" w:asciiTheme="majorBidi" w:hAnsiTheme="majorBidi" w:cstheme="majorBidi"/>
                <w:sz w:val="20"/>
                <w:szCs w:val="20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60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33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6.</w:t>
            </w:r>
          </w:p>
        </w:tc>
        <w:tc>
          <w:tcPr>
            <w:tcW w:w="5698" w:type="dxa"/>
          </w:tcPr>
          <w:p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Calibri" w:asciiTheme="majorBidi" w:hAnsiTheme="majorBidi" w:cstheme="majorBidi"/>
                <w:sz w:val="20"/>
                <w:szCs w:val="20"/>
              </w:rPr>
              <w:t xml:space="preserve">Объем полезного отпуска тепловой энергии</w:t>
            </w:r>
          </w:p>
        </w:tc>
        <w:tc>
          <w:tcPr>
            <w:tcW w:w="993" w:type="dxa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Calibri" w:asciiTheme="majorBidi" w:hAnsiTheme="majorBidi" w:cstheme="majorBidi"/>
                <w:sz w:val="20"/>
                <w:szCs w:val="20"/>
              </w:rPr>
              <w:t xml:space="preserve">тыс. Гкал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2 181,53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060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888</w:t>
            </w:r>
          </w:p>
        </w:tc>
      </w:tr>
      <w:tr>
        <w:trPr>
          <w:jc w:val="center"/>
        </w:trPr>
        <w:tc>
          <w:tcPr>
            <w:tcW w:w="9707" w:type="dxa"/>
            <w:gridSpan w:val="6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Горячее водоснабжение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Базовый уровень операционных расходов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Индекс эффективности операционных расходов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3.</w:t>
            </w:r>
          </w:p>
        </w:tc>
        <w:tc>
          <w:tcPr>
            <w:tcW w:w="5698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Нормативный уровень прибыли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3.1.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То же самое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4.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Сумма валовой выручки</w:t>
            </w:r>
          </w:p>
        </w:tc>
        <w:tc>
          <w:tcPr>
            <w:tcW w:w="993" w:type="dxa"/>
            <w:tcBorders>
              <w:top w:val="none"/>
              <w:left w:val="none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тыс.руб. без НДС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686,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26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5.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Изменение суммы валовой выручки к предыдущему году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%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58</w:t>
            </w:r>
          </w:p>
        </w:tc>
      </w:tr>
      <w:tr>
        <w:trPr>
          <w:gridAfter w:val="1"/>
          <w:jc w:val="center"/>
        </w:trPr>
        <w:tc>
          <w:tcPr>
            <w:tcW w:w="534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6.</w:t>
            </w:r>
          </w:p>
        </w:tc>
        <w:tc>
          <w:tcPr>
            <w:tcW w:w="5698" w:type="dxa"/>
          </w:tcPr>
          <w:p>
            <w:pPr>
              <w:spacing w:after="0" w:line="288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Объем отпуска воды</w:t>
            </w:r>
          </w:p>
        </w:tc>
        <w:tc>
          <w:tcPr>
            <w:tcW w:w="993" w:type="dxa"/>
          </w:tcPr>
          <w:p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тыс. м3</w:t>
            </w:r>
          </w:p>
        </w:tc>
        <w:tc>
          <w:tcPr>
            <w:tcW w:w="1163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3 200,00</w:t>
            </w:r>
          </w:p>
        </w:tc>
        <w:tc>
          <w:tcPr>
            <w:tcW w:w="1307" w:type="dxa"/>
            <w:vAlign w:val="center"/>
          </w:tcPr>
          <w:p>
            <w:pPr>
              <w:spacing w:after="0" w:line="288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966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78</w:t>
            </w:r>
          </w:p>
        </w:tc>
      </w:tr>
    </w:tbl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iCs/>
        </w:rPr>
      </w:pP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Приложение 4</w:t>
      </w:r>
      <w:r>
        <w:rPr>
          <w:rStyle w:val="a8"/>
          <w:iCs/>
        </w:rPr>
        <w:t xml:space="preserve"> </w:t>
      </w:r>
      <w:r>
        <w:rPr>
          <w:rStyle w:val="a8"/>
          <w:iCs/>
        </w:rPr>
        <w:t xml:space="preserve">к акту о результатах контроля 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об исполнении Концессионером мероприятий,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  <w:r>
        <w:rPr>
          <w:rStyle w:val="a8"/>
          <w:iCs/>
        </w:rPr>
        <w:t xml:space="preserve"> предусмотренных Концессионным соглашением</w:t>
      </w:r>
    </w:p>
    <w:p>
      <w:pPr>
        <w:pStyle w:val="afe"/>
        <w:spacing w:beforeAutospacing="0" w:after="0" w:afterAutospacing="0"/>
        <w:ind w:firstLine="709"/>
        <w:contextualSpacing/>
        <w:jc w:val="right"/>
        <w:rPr>
          <w:rStyle w:val="a8"/>
          <w:b w:val="0"/>
          <w:iCs/>
        </w:rPr>
      </w:pP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Cs/>
        </w:rPr>
      </w:pPr>
      <w:r>
        <w:rPr>
          <w:rStyle w:val="a8"/>
          <w:iCs/>
        </w:rPr>
        <w:t xml:space="preserve">Мониторинг </w:t>
      </w:r>
      <w:r>
        <w:t xml:space="preserve">финансирования мероприятий </w:t>
      </w:r>
    </w:p>
    <w:p>
      <w:pPr>
        <w:pStyle w:val="afe"/>
        <w:spacing w:beforeAutospacing="0" w:after="0" w:afterAutospacing="0"/>
        <w:contextualSpacing/>
        <w:jc w:val="center"/>
        <w:rPr>
          <w:rStyle w:val="a8"/>
          <w:i/>
        </w:rPr>
      </w:pPr>
      <w:r>
        <w:rPr>
          <w:rStyle w:val="a8"/>
          <w:i/>
        </w:rPr>
        <w:t xml:space="preserve">теплоснабжения, централизованных систем горячего водоснабжения, </w:t>
      </w: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/>
        </w:rPr>
      </w:pPr>
      <w:r>
        <w:rPr>
          <w:rStyle w:val="a8"/>
          <w:i/>
        </w:rPr>
        <w:t xml:space="preserve">за период </w:t>
      </w:r>
      <w:r>
        <w:rPr>
          <w:rStyle w:val="a8"/>
          <w:i/>
        </w:rPr>
        <w:t xml:space="preserve">202</w:t>
      </w:r>
      <w:r>
        <w:rPr>
          <w:rStyle w:val="a8"/>
          <w:i/>
        </w:rPr>
        <w:t xml:space="preserve">5</w:t>
      </w:r>
      <w:r>
        <w:rPr>
          <w:rStyle w:val="a8"/>
          <w:i/>
        </w:rPr>
        <w:t xml:space="preserve"> год</w:t>
      </w:r>
    </w:p>
    <w:p>
      <w:pPr>
        <w:pStyle w:val="afe"/>
        <w:spacing w:beforeAutospacing="0" w:after="0" w:afterAutospacing="0"/>
        <w:contextualSpacing/>
        <w:jc w:val="center"/>
        <w:rPr>
          <w:rStyle w:val="a8"/>
          <w:b w:val="0"/>
          <w:iCs/>
          <w:sz w:val="20"/>
          <w:szCs w:val="20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5813"/>
        <w:gridCol w:w="1417"/>
        <w:gridCol w:w="1417"/>
      </w:tblGrid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№ п/п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Наименование мероприятия/источника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План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 тыс. руб. (без НДС)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Факт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he-IL"/>
              </w:rPr>
              <w:t xml:space="preserve"> тыс. руб. (без НДС)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Сведения о </w:t>
            </w: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  <w:u w:val="single"/>
              </w:rPr>
              <w:t xml:space="preserve">выполненных</w:t>
            </w: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 (не выполненных) работах в соответствии с Заданием по следующим объектам: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  <w:trHeight w:val="39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1.4.1. Реконструкция котельной №3А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104 796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84 854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3.1.2.9.1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 ТС от УТ-55 - УТ-56 до УТ-57 по ул.60 лет Октября, инв.№5000003281 в составе объекта: Магистральные тепловые сети (от котельной №5, расположенной по улице Кузоваткина №1а) (Участок тепловой сети от точки "В" до точки "С" (напротив ж.д. № 23 по ул.60 лет Октября)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14 432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10 272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3.1.2.11.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от УТ-70 до УТ-72 по ул. Интернациональной Кот.3", инв.№5000003829 в составе объекта: Магистральные тепловые сети от котельной №3А, расположенной по ул. Интернациональной, №71в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8 155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6 339</w:t>
            </w:r>
          </w:p>
        </w:tc>
      </w:tr>
      <w:tr>
        <w:trPr>
          <w:jc w:val="center"/>
          <w:trHeight w:val="994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3.1.2.17."Сети теплоснабжения от ЦТП 8/2 до наружной стены жилого дома №15/2 по ул. Ленина" инв.№5000004135 в составе объекта: Сооружения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10 262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10 410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3.1.2.18.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от УТ-5 до УТ-2" инв.№5000008029 в составе объекта: Инженерные сети 10 "Г" микрорайона. Внутриквартальные тепловые сети.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11 033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10 931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3.1.2.20.1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УЗ1-УЗ11-УЗ11-1-2 через 1 мкр. по ул. Пионерской Кот.1, инв.№ 5000003086 в составе объекта: Магистральные тепловые сети (от котельной №1, расположенной по улице Кузоваткина №1а)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679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679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3.1.2.21.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"Тепловые сети от Подмешивающей станции ПС-1С" инв.№ 5000004185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11 000</w:t>
            </w:r>
          </w:p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10 590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3.1.2.22.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посёлка Рыбозавод" инв.№ 5000008942 (объекта концессионного соглашения: Сети теплоснабжения пос. Рыбозавод)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4 095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3 356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3.1.2.23.1.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 ТС УТ-54 - 54А - 55 ул.2П (60 лет Октября) Кот.5 инв.№ 5000003304 в составе объекта: Магистральные тепловые сети (от котельной №5, расположенной по улице Кузоваткина №1а) ( Участок тепловой сети от УТ-2-54А (точка А) до УТ-2-54 (точка Б))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24 390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18 269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3.1.2.26.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от УТ-44 до детского сада 34 (д/сад 77 "Эрудит")" инв.№ 5000007702 в составе объекта: Тепловые сети 10А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4 150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3 870</w:t>
            </w:r>
          </w:p>
        </w:tc>
      </w:tr>
      <w:tr>
        <w:trPr>
          <w:jc w:val="center"/>
          <w:trHeight w:val="62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3.1.2.27.1.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от УТ-63 до УТ-63А по ул. Др.Народов (ул.13) инв.№ 5000007590 в составе объекта: Магистральные тепловые сети от котельной №3А, расположенной по ул. Интернациональной, №71в. (Участок тепловой сети от точки "А" со стороны УТ-63А до точки "Б"  (район ж.д. №15 по ул.Дружбы Народов)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27 453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26 861</w:t>
            </w:r>
          </w:p>
        </w:tc>
      </w:tr>
      <w:tr>
        <w:trPr>
          <w:jc w:val="center"/>
          <w:trHeight w:val="76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3.1.2.29.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"ТС от Уз.3 - Уз.9 - Уз.10 по ул. Омская Кот.1 5000003010 в составе объекта:Магистральные тепловые сети (от котельной №1, расположенной по улице Кузоваткина №1а)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665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665</w:t>
            </w:r>
          </w:p>
        </w:tc>
      </w:tr>
      <w:tr>
        <w:trPr>
          <w:jc w:val="center"/>
          <w:trHeight w:val="509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3.1.2.30."ТС от УТ-10 до ж.д. 25 (Омская, 10)  мкр. 2 5000008422 в составе объекта: Тепловые сети 2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335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335</w:t>
            </w:r>
          </w:p>
        </w:tc>
      </w:tr>
      <w:tr>
        <w:trPr>
          <w:jc w:val="center"/>
          <w:trHeight w:val="403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3.2.2. Реконструкция котельной  №2А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34 881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51 243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3.2.3. Реконструкция котельной  №5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35 499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19 634</w:t>
            </w:r>
          </w:p>
        </w:tc>
      </w:tr>
      <w:tr>
        <w:trPr>
          <w:jc w:val="center"/>
          <w:trHeight w:val="391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3.2.4.-3.2.6. Реконструкция котельной №8, 8А, 8Б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42 061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65 864</w:t>
            </w:r>
          </w:p>
        </w:tc>
      </w:tr>
      <w:tr>
        <w:trPr>
          <w:jc w:val="center"/>
          <w:trHeight w:val="391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3.2.7. Реконструкция тепловых, подмешивающих станций  (ПС)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4 383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14 098</w:t>
            </w:r>
          </w:p>
        </w:tc>
      </w:tr>
      <w:tr>
        <w:trPr>
          <w:jc w:val="center"/>
          <w:trHeight w:val="340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3.2.8. Модернизация (техническое перевооружение) ЦТП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714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714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3.1.2.4. "ГВ от ЦТП-66 (10Г/3) до УТ-2 (Интернациональная,2Б/1,2Б/3)", инв.№5100007989 в составе объекта: Сети горячего водоснабжения 10Г микрорайона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2 328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4 250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3.1.2.5. ГВ от УТ-5 до УТ-2, инв.№5100008030 в составе объекта: Сети горячего водоснабжения 10Г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4 316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7 596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3.1.2.6. "ГВ от ЦТП-8/2 до наружной стены ж.д. № 15/2 по ул. Ленина", инв.№5100004152 в составе объекта: Сооружения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6 534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7 644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3.1.2.7. "ГВ от УТ-44 до д/сада 34 (д/сад 77 "Эрудит")" инв.№ 5100007703 в составе объекта: Сети горячего водоснабжения 10А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3 671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1 940</w:t>
            </w:r>
          </w:p>
        </w:tc>
      </w:tr>
      <w:tr>
        <w:trPr>
          <w:jc w:val="center"/>
          <w:trHeight w:val="790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3.1.2.10. "ГВ от ЦТП-1/4 - ж.д.57И (60 лет Октября,11) инв.№ 5100008375 в составе объекта: Сети горячего водоснабжения 1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1 984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1 924</w:t>
            </w:r>
          </w:p>
        </w:tc>
      </w:tr>
      <w:tr>
        <w:trPr>
          <w:jc w:val="center"/>
          <w:trHeight w:val="1060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afc"/>
              <w:numPr>
                <w:numId w:val="3"/>
                <w:ilvl w:val="0"/>
              </w:numPr>
              <w:tabs>
                <w:tab w:val="left" w:pos="283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3.1.2.11"ГВ от ж.д. 57и (60 лет Октября,11) через ж.д. Проспект Победы,1 до ж.д.36А (Проспект Победы,3;5) " инв.№ 5100008367 в составе объекта: Сети горячего водоснабжения 1 микрорайона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6 591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2 106</w:t>
            </w:r>
          </w:p>
        </w:tc>
      </w:tr>
      <w:tr>
        <w:trPr>
          <w:jc w:val="center"/>
        </w:trPr>
        <w:tc>
          <w:tcPr>
            <w:tcW w:w="93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В разрезе сфер: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Теплоснабжение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Предельный размер расходов Концессионера на создание и реконструкцию Объектов, тыс.руб. без НДС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338 984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338 984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Объем расходов, финансируемых за счет средств Концедента на создание и реконструкцию Объектов, тыс.руб. (НДС не облагается)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Объем расходов, финансируемых за счет средств Концедента на использование (эксплуатацию) Объекта соглашения, тыс.руб. (НДС не облагается)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Горячее водоснабжение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1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Предельный размер расходов Концессионера на создание и реконструкцию Объектов, тыс.руб. без НДС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25 424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</w:rPr>
              <w:t xml:space="preserve">25 459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2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Объем расходов, финансируемых за счет средств Концедента на создание и реконструкцию Объектов, тыс.руб. (НДС не облагается)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3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Объем расходов, финансируемых за счет средств Концедента на использование (эксплуатацию) Объекта соглашения, тыс.руб. (НДС не облагается)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0"/>
                <w:szCs w:val="20"/>
              </w:rPr>
              <w:t xml:space="preserve">0</w:t>
            </w:r>
          </w:p>
        </w:tc>
      </w:tr>
      <w:tr>
        <w:trPr>
          <w:jc w:val="center"/>
        </w:trPr>
        <w:tc>
          <w:tcPr>
            <w:tcW w:w="65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</w:rPr>
              <w:t xml:space="preserve">Итого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 xml:space="preserve">364 408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 xml:space="preserve">364 443</w:t>
            </w:r>
          </w:p>
        </w:tc>
      </w:tr>
    </w:tbl>
    <w:p/>
    <w:sectPr>
      <w:headerReference w:type="default" r:id="rId9"/>
      <w:footerReference w:type="default" r:id="rId10"/>
      <w:pgSz w:w="11906" w:h="16838"/>
      <w:pgMar w:top="1134" w:right="1304" w:bottom="0" w:left="1304" w:header="720" w:footer="720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Droid Sans Devanagari">
    <w:panose1 w:val="020B0606030804020204"/>
  </w:font>
  <w:font w:name="Segoe UI">
    <w:panose1 w:val="020B0502040504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f4"/>
      <w:jc w:val="center"/>
      <w:rPr>
        <w:rFonts w:ascii="Times New Roman" w:hAnsi="Times New Roman" w:cs="Times New Roman"/>
        <w:sz w:val="12"/>
        <w:szCs w:val="12"/>
      </w:rPr>
    </w:pPr>
  </w:p>
  <w:p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651359246"/>
      <w:docPartObj>
        <w:docPartGallery w:val="Page Numbers (Top of Page)"/>
        <w:docPartUnique w:val="true"/>
      </w:docPartObj>
    </w:sdtPr>
    <w:sdtContent>
      <w:p>
        <w:pPr>
          <w:pStyle w:val="aff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</w:p>
    </w:sdtContent>
  </w:sdt>
  <w:p>
    <w:pPr>
      <w:pStyle w:val="af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EAAA139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B740C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 w:tplc="1E8E7A28">
      <w:start w:val="1"/>
      <w:numFmt w:val="decimal"/>
      <w:isLgl/>
      <w:lvlText w:val="%1."/>
      <w:lvlJc w:val="left"/>
      <w:pPr>
        <w:tabs>
          <w:tab w:val="num" w:pos="0"/>
        </w:tabs>
        <w:ind w:left="709" w:hanging="360"/>
      </w:pPr>
    </w:lvl>
    <w:lvl w:ilvl="1" w:tplc="F5A0B9A8">
      <w:start w:val="1"/>
      <w:numFmt w:val="lowerLetter"/>
      <w:isLgl/>
      <w:lvlText w:val="%2."/>
      <w:lvlJc w:val="left"/>
      <w:pPr>
        <w:tabs>
          <w:tab w:val="num" w:pos="0"/>
        </w:tabs>
        <w:ind w:left="1429" w:hanging="360"/>
      </w:pPr>
    </w:lvl>
    <w:lvl w:ilvl="2" w:tplc="EADA3572">
      <w:start w:val="1"/>
      <w:numFmt w:val="lowerRoman"/>
      <w:isLgl/>
      <w:lvlText w:val="%3."/>
      <w:lvlJc w:val="right"/>
      <w:pPr>
        <w:tabs>
          <w:tab w:val="num" w:pos="0"/>
        </w:tabs>
        <w:ind w:left="2149" w:hanging="180"/>
      </w:pPr>
    </w:lvl>
    <w:lvl w:ilvl="3" w:tplc="AD3A194C">
      <w:start w:val="1"/>
      <w:numFmt w:val="decimal"/>
      <w:isLgl/>
      <w:lvlText w:val="%4."/>
      <w:lvlJc w:val="left"/>
      <w:pPr>
        <w:tabs>
          <w:tab w:val="num" w:pos="0"/>
        </w:tabs>
        <w:ind w:left="2869" w:hanging="360"/>
      </w:pPr>
    </w:lvl>
    <w:lvl w:ilvl="4" w:tplc="F11A2280">
      <w:start w:val="1"/>
      <w:numFmt w:val="lowerLetter"/>
      <w:isLgl/>
      <w:lvlText w:val="%5."/>
      <w:lvlJc w:val="left"/>
      <w:pPr>
        <w:tabs>
          <w:tab w:val="num" w:pos="0"/>
        </w:tabs>
        <w:ind w:left="3589" w:hanging="360"/>
      </w:pPr>
    </w:lvl>
    <w:lvl w:ilvl="5" w:tplc="13DADE04">
      <w:start w:val="1"/>
      <w:numFmt w:val="lowerRoman"/>
      <w:isLgl/>
      <w:lvlText w:val="%6."/>
      <w:lvlJc w:val="right"/>
      <w:pPr>
        <w:tabs>
          <w:tab w:val="num" w:pos="0"/>
        </w:tabs>
        <w:ind w:left="4309" w:hanging="180"/>
      </w:pPr>
    </w:lvl>
    <w:lvl w:ilvl="6" w:tplc="ED7A1F72">
      <w:start w:val="1"/>
      <w:numFmt w:val="decimal"/>
      <w:isLgl/>
      <w:lvlText w:val="%7."/>
      <w:lvlJc w:val="left"/>
      <w:pPr>
        <w:tabs>
          <w:tab w:val="num" w:pos="0"/>
        </w:tabs>
        <w:ind w:left="5029" w:hanging="360"/>
      </w:pPr>
    </w:lvl>
    <w:lvl w:ilvl="7" w:tplc="C9F8E93C">
      <w:start w:val="1"/>
      <w:numFmt w:val="lowerLetter"/>
      <w:isLgl/>
      <w:lvlText w:val="%8."/>
      <w:lvlJc w:val="left"/>
      <w:pPr>
        <w:tabs>
          <w:tab w:val="num" w:pos="0"/>
        </w:tabs>
        <w:ind w:left="5749" w:hanging="360"/>
      </w:pPr>
    </w:lvl>
    <w:lvl w:ilvl="8" w:tplc="2AD8046A">
      <w:start w:val="1"/>
      <w:numFmt w:val="lowerRoman"/>
      <w:isLgl/>
      <w:lvlText w:val="%9."/>
      <w:lvlJc w:val="right"/>
      <w:pPr>
        <w:tabs>
          <w:tab w:val="num" w:pos="0"/>
        </w:tabs>
        <w:ind w:left="646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qFormat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20" w:customStyle="1">
    <w:name w:val="Заголовок 2 Знак"/>
    <w:basedOn w:val="a0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30" w:customStyle="1">
    <w:name w:val="Заголовок 3 Знак"/>
    <w:basedOn w:val="a0"/>
    <w:link w:val="3"/>
    <w:uiPriority w:val="9"/>
    <w:qFormat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40" w:customStyle="1">
    <w:name w:val="Заголовок 4 Знак"/>
    <w:basedOn w:val="a0"/>
    <w:link w:val="4"/>
    <w:uiPriority w:val="9"/>
    <w:qFormat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50" w:customStyle="1">
    <w:name w:val="Заголовок 5 Знак"/>
    <w:basedOn w:val="a0"/>
    <w:link w:val="5"/>
    <w:uiPriority w:val="9"/>
    <w:qFormat/>
    <w:rPr>
      <w:rFonts w:asciiTheme="majorHAnsi" w:hAnsiTheme="majorHAnsi" w:eastAsiaTheme="majorEastAsia" w:cstheme="majorBidi"/>
      <w:color w:val="243f60" w:themeColor="accent1" w:themeShade="7F"/>
    </w:rPr>
  </w:style>
  <w:style w:type="character" w:styleId="60" w:customStyle="1">
    <w:name w:val="Заголовок 6 Знак"/>
    <w:basedOn w:val="a0"/>
    <w:link w:val="6"/>
    <w:uiPriority w:val="9"/>
    <w:qFormat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0" w:customStyle="1">
    <w:name w:val="Заголовок 7 Знак"/>
    <w:basedOn w:val="a0"/>
    <w:link w:val="7"/>
    <w:uiPriority w:val="9"/>
    <w:qFormat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0" w:customStyle="1">
    <w:name w:val="Заголовок 8 Знак"/>
    <w:basedOn w:val="a0"/>
    <w:link w:val="8"/>
    <w:uiPriority w:val="9"/>
    <w:qFormat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0" w:customStyle="1">
    <w:name w:val="Заголовок 9 Знак"/>
    <w:basedOn w:val="a0"/>
    <w:link w:val="9"/>
    <w:uiPriority w:val="9"/>
    <w:qFormat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a3" w:customStyle="1">
    <w:name w:val="Название Знак"/>
    <w:basedOn w:val="a0"/>
    <w:uiPriority w:val="10"/>
    <w:qFormat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a4" w:customStyle="1">
    <w:name w:val="Подзаголовок Знак"/>
    <w:basedOn w:val="a0"/>
    <w:uiPriority w:val="11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21" w:customStyle="1">
    <w:name w:val="Цитата 2 Знак"/>
    <w:basedOn w:val="a0"/>
    <w:link w:val="22"/>
    <w:uiPriority w:val="29"/>
    <w:qFormat/>
    <w:rPr>
      <w:i/>
      <w:iCs/>
      <w:color w:val="000000" w:themeColor="text1"/>
    </w:rPr>
  </w:style>
  <w:style w:type="character" w:styleId="a9" w:customStyle="1">
    <w:name w:val="Выделенная цитата Знак"/>
    <w:basedOn w:val="a0"/>
    <w:uiPriority w:val="30"/>
    <w:qFormat/>
    <w:rPr>
      <w:b/>
      <w:bCs/>
      <w:i/>
      <w:iCs/>
      <w:color w:val="4f81bd" w:themeColor="accent1"/>
    </w:rPr>
  </w:style>
  <w:style w:type="character" w:styleId="aa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b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c">
    <w:name w:val="Book Title"/>
    <w:basedOn w:val="a0"/>
    <w:uiPriority w:val="33"/>
    <w:qFormat/>
    <w:rPr>
      <w:b/>
      <w:bCs/>
      <w:smallCaps/>
      <w:spacing w:val="5"/>
    </w:rPr>
  </w:style>
  <w:style w:type="character" w:styleId="-" w:customStyle="1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styleId="ad" w:customStyle="1">
    <w:name w:val="Посещённая гиперссылка"/>
    <w:basedOn w:val="a0"/>
    <w:uiPriority w:val="99"/>
    <w:unhideWhenUsed/>
    <w:rPr>
      <w:color w:val="800080" w:themeColor="followedHyperlink"/>
      <w:u w:val="single"/>
    </w:rPr>
  </w:style>
  <w:style w:type="character" w:styleId="ae" w:customStyle="1">
    <w:name w:val="Абзац списка Знак"/>
    <w:uiPriority w:val="34"/>
    <w:qFormat/>
    <w:locked/>
  </w:style>
  <w:style w:type="character" w:styleId="af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0" w:customStyle="1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styleId="af1" w:customStyle="1">
    <w:name w:val="Тема примечания Знак"/>
    <w:basedOn w:val="af0"/>
    <w:uiPriority w:val="99"/>
    <w:semiHidden/>
    <w:qFormat/>
    <w:rPr>
      <w:b/>
      <w:bCs/>
      <w:sz w:val="20"/>
      <w:szCs w:val="20"/>
    </w:rPr>
  </w:style>
  <w:style w:type="character" w:styleId="af2" w:customStyle="1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styleId="af3" w:customStyle="1">
    <w:name w:val="Верхний колонтитул Знак"/>
    <w:basedOn w:val="a0"/>
    <w:uiPriority w:val="99"/>
    <w:qFormat/>
  </w:style>
  <w:style w:type="character" w:styleId="af4" w:customStyle="1">
    <w:name w:val="Нижний колонтитул Знак"/>
    <w:basedOn w:val="a0"/>
    <w:uiPriority w:val="99"/>
    <w:qFormat/>
  </w:style>
  <w:style w:type="paragraph" w:styleId="af5">
    <w:name w:val="Title"/>
    <w:basedOn w:val="a"/>
    <w:next w:val="af6"/>
    <w:uiPriority w:val="10"/>
    <w:qFormat/>
    <w:pPr>
      <w:pBdr>
        <w:bottom w:val="single" w:color="4F81BD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af6">
    <w:name w:val="Body Text"/>
    <w:basedOn w:val="a"/>
    <w:pPr>
      <w:spacing w:after="140"/>
    </w:pPr>
  </w:style>
  <w:style w:type="paragraph" w:styleId="af7">
    <w:name w:val="List"/>
    <w:basedOn w:val="af6"/>
    <w:rPr>
      <w:rFonts w:cs="Droid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cs="Droid Sans Devanagari"/>
    </w:rPr>
  </w:style>
  <w:style w:type="paragraph" w:styleId="afa">
    <w:name w:val="Subtitle"/>
    <w:basedOn w:val="a"/>
    <w:next w:val="a"/>
    <w:uiPriority w:val="11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Pr>
      <w:i/>
      <w:iCs/>
      <w:color w:val="000000" w:themeColor="text1"/>
    </w:rPr>
  </w:style>
  <w:style w:type="paragraph" w:styleId="afb">
    <w:name w:val="Intense Quote"/>
    <w:basedOn w:val="a"/>
    <w:next w:val="a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 w:customStyle="1">
    <w:name w:val="Название приложения"/>
    <w:basedOn w:val="a"/>
    <w:qFormat/>
    <w:pPr>
      <w:spacing w:after="160" w:line="259" w:lineRule="auto"/>
      <w:jc w:val="center"/>
    </w:pPr>
    <w:rPr>
      <w:rFonts w:ascii="Times New Roman" w:hAnsi="Times New Roman" w:eastAsia="Calibri" w:cs="Times New Roman"/>
      <w:b/>
      <w:sz w:val="24"/>
      <w:szCs w:val="24"/>
    </w:rPr>
  </w:style>
  <w:style w:type="paragraph" w:styleId="ConsPlusNonformat" w:customStyle="1">
    <w:name w:val="ConsPlusNonformat"/>
    <w:qFormat/>
    <w:pPr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paragraph" w:styleId="afe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0">
    <w:name w:val="annotation subject"/>
    <w:basedOn w:val="aff"/>
    <w:next w:val="aff"/>
    <w:uiPriority w:val="99"/>
    <w:semiHidden/>
    <w:unhideWhenUsed/>
    <w:qFormat/>
    <w:rPr>
      <w:b/>
      <w:bCs/>
    </w:rPr>
  </w:style>
  <w:style w:type="paragraph" w:styleId="aff1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2" w:customStyle="1">
    <w:name w:val="Верхний и нижний колонтитулы"/>
    <w:basedOn w:val="a"/>
    <w:qFormat/>
  </w:style>
  <w:style w:type="paragraph" w:styleId="aff3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4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5" w:customStyle="1">
    <w:name w:val="Содержимое таблицы"/>
    <w:basedOn w:val="a"/>
    <w:qFormat/>
    <w:pPr>
      <w:widowControl w:val="off"/>
      <w:suppressLineNumbers/>
    </w:pPr>
  </w:style>
  <w:style w:type="paragraph" w:styleId="aff6" w:customStyle="1">
    <w:name w:val="Заголовок таблицы"/>
    <w:basedOn w:val="aff5"/>
    <w:qFormat/>
    <w:pPr>
      <w:jc w:val="center"/>
    </w:pPr>
    <w:rPr>
      <w:b/>
      <w:bCs/>
    </w:rPr>
  </w:style>
  <w:style w:type="table" w:styleId="aff7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f8" w:customStyle="1">
    <w:name w:val="Другое_"/>
    <w:basedOn w:val="a0"/>
    <w:link w:val="aff9"/>
    <w:rPr>
      <w:rFonts w:ascii="Times New Roman" w:hAnsi="Times New Roman" w:eastAsia="Times New Roman" w:cs="Times New Roman"/>
      <w:sz w:val="20"/>
      <w:szCs w:val="20"/>
    </w:rPr>
  </w:style>
  <w:style w:type="paragraph" w:styleId="aff9" w:customStyle="1">
    <w:name w:val="Другое"/>
    <w:basedOn w:val="a"/>
    <w:link w:val="aff8"/>
    <w:pPr>
      <w:widowControl w:val="off"/>
      <w:spacing w:after="0" w:line="240" w:lineRule="auto"/>
      <w:jc w:val="center"/>
    </w:pPr>
    <w:rPr>
      <w:rFonts w:ascii="Times New Roman" w:hAnsi="Times New Roman" w:eastAsia="Times New Roman" w:cs="Times New Roman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haracters>15758</Characters>
  <CharactersWithSpaces>18486</CharactersWithSpaces>
  <Company>UTSNV</Company>
  <DocSecurity>0</DocSecurity>
  <HyperlinksChanged>false</HyperlinksChanged>
  <Lines>131</Lines>
  <LinksUpToDate>false</LinksUpToDate>
  <Pages>10</Pages>
  <Paragraphs>36</Paragraphs>
  <ScaleCrop>false</ScaleCrop>
  <SharedDoc>false</SharedDoc>
  <Template>Normal</Template>
  <TotalTime>30</TotalTime>
  <Words>2764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Петровец Владимир Михайлович</dc:creator>
  <dc:description/>
  <dc:language>ru-RU</dc:language>
  <cp:lastModifiedBy>Миндубаева Кадрия Вазыховна</cp:lastModifiedBy>
  <cp:revision>4</cp:revision>
  <cp:lastPrinted>2026-05-15T10:34:00Z</cp:lastPrinted>
  <dcterms:created xsi:type="dcterms:W3CDTF">2026-05-19T10:38:00Z</dcterms:created>
  <dcterms:modified xsi:type="dcterms:W3CDTF">2026-05-21T05:39:00Z</dcterms:modified>
</cp:coreProperties>
</file>